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b/>
          <w:color w:val="444F5C"/>
          <w:sz w:val="22"/>
        </w:rPr>
        <w:t>KAMPALA UGANDA TEMPLE</w:t>
      </w:r>
    </w:p>
    <w:p>
      <w:pPr>
        <w:spacing w:after="80"/>
        <w:pBdr>
          <w:bottom w:val="single" w:sz="12" w:space="4" w:color="1F3654"/>
        </w:pBdr>
      </w:pPr>
      <w:r>
        <w:rPr>
          <w:b/>
          <w:color w:val="1F3654"/>
          <w:sz w:val="60"/>
        </w:rPr>
        <w:t>Document Control Standard</w:t>
      </w:r>
    </w:p>
    <w:p>
      <w:pPr>
        <w:spacing w:before="200"/>
      </w:pPr>
      <w:r>
        <w:rPr>
          <w:color w:val="444F5C"/>
          <w:sz w:val="24"/>
        </w:rPr>
        <w:t>Numbering, revision, issue and retirement of project information</w:t>
      </w:r>
    </w:p>
    <w:p/>
    <w:p/>
    <w:p/>
    <w:p/>
    <w:p/>
    <w:p/>
    <w:p/>
    <w:p/>
    <w:p/>
    <w:p/>
    <w:tbl>
      <w:tblPr>
        <w:tblW w:type="auto" w:w="0"/>
        <w:tblLook w:firstColumn="1" w:firstRow="1" w:lastColumn="0" w:lastRow="0" w:noHBand="0" w:noVBand="1" w:val="04A0"/>
      </w:tblPr>
      <w:tblGrid>
        <w:gridCol w:w="4706"/>
        <w:gridCol w:w="4706"/>
      </w:tblGrid>
      <w:tr>
        <w:tc>
          <w:tcPr>
            <w:tcW w:type="dxa" w:w="2835"/>
          </w:tcPr>
          <w:p>
            <w:r>
              <w:rPr>
                <w:b/>
                <w:color w:val="444F5C"/>
                <w:sz w:val="18"/>
              </w:rPr>
              <w:t>Document reference</w:t>
            </w:r>
          </w:p>
        </w:tc>
        <w:tc>
          <w:tcPr>
            <w:tcW w:type="dxa" w:w="6576"/>
          </w:tcPr>
          <w:p>
            <w:r>
              <w:rPr>
                <w:sz w:val="18"/>
              </w:rPr>
              <w:t>KUT-SMB-ZZ-ZZ-RP-Z-0003</w:t>
            </w:r>
          </w:p>
        </w:tc>
      </w:tr>
      <w:tr>
        <w:tc>
          <w:tcPr>
            <w:tcW w:type="dxa" w:w="2835"/>
          </w:tcPr>
          <w:p>
            <w:r>
              <w:rPr>
                <w:b/>
                <w:color w:val="444F5C"/>
                <w:sz w:val="18"/>
              </w:rPr>
              <w:t>Revision</w:t>
            </w:r>
          </w:p>
        </w:tc>
        <w:tc>
          <w:tcPr>
            <w:tcW w:type="dxa" w:w="6576"/>
          </w:tcPr>
          <w:p>
            <w:r>
              <w:rPr>
                <w:sz w:val="18"/>
              </w:rPr>
              <w:t>P01</w:t>
            </w:r>
          </w:p>
        </w:tc>
      </w:tr>
      <w:tr>
        <w:tc>
          <w:tcPr>
            <w:tcW w:type="dxa" w:w="2835"/>
          </w:tcPr>
          <w:p>
            <w:r>
              <w:rPr>
                <w:b/>
                <w:color w:val="444F5C"/>
                <w:sz w:val="18"/>
              </w:rPr>
              <w:t>Status / suitability</w:t>
            </w:r>
          </w:p>
        </w:tc>
        <w:tc>
          <w:tcPr>
            <w:tcW w:type="dxa" w:w="6576"/>
          </w:tcPr>
          <w:p>
            <w:r>
              <w:rPr>
                <w:sz w:val="18"/>
              </w:rPr>
              <w:t>A1 — Authorised for use</w:t>
            </w:r>
          </w:p>
        </w:tc>
      </w:tr>
      <w:tr>
        <w:tc>
          <w:tcPr>
            <w:tcW w:type="dxa" w:w="2835"/>
          </w:tcPr>
          <w:p>
            <w:r>
              <w:rPr>
                <w:b/>
                <w:color w:val="444F5C"/>
                <w:sz w:val="18"/>
              </w:rPr>
              <w:t>Prepared by</w:t>
            </w:r>
          </w:p>
        </w:tc>
        <w:tc>
          <w:tcPr>
            <w:tcW w:type="dxa" w:w="6576"/>
          </w:tcPr>
          <w:p>
            <w:r>
              <w:rPr>
                <w:sz w:val="18"/>
              </w:rPr>
              <w:t>Symbion Consulting Group Studios</w:t>
            </w:r>
          </w:p>
        </w:tc>
      </w:tr>
      <w:tr>
        <w:tc>
          <w:tcPr>
            <w:tcW w:type="dxa" w:w="2835"/>
          </w:tcPr>
          <w:p>
            <w:r>
              <w:rPr>
                <w:b/>
                <w:color w:val="444F5C"/>
                <w:sz w:val="18"/>
              </w:rPr>
              <w:t>Role</w:t>
            </w:r>
          </w:p>
        </w:tc>
        <w:tc>
          <w:tcPr>
            <w:tcW w:type="dxa" w:w="6576"/>
          </w:tcPr>
          <w:p>
            <w:r>
              <w:rPr>
                <w:sz w:val="18"/>
              </w:rPr>
              <w:t>Information Manager</w:t>
            </w:r>
          </w:p>
        </w:tc>
      </w:tr>
      <w:tr>
        <w:tc>
          <w:tcPr>
            <w:tcW w:type="dxa" w:w="2835"/>
          </w:tcPr>
          <w:p>
            <w:r>
              <w:rPr>
                <w:b/>
                <w:color w:val="444F5C"/>
                <w:sz w:val="18"/>
              </w:rPr>
              <w:t>Date of issue</w:t>
            </w:r>
          </w:p>
        </w:tc>
        <w:tc>
          <w:tcPr>
            <w:tcW w:type="dxa" w:w="6576"/>
          </w:tcPr>
          <w:p>
            <w:r>
              <w:rPr>
                <w:sz w:val="18"/>
              </w:rPr>
              <w:t>[FILL]</w:t>
            </w:r>
          </w:p>
        </w:tc>
      </w:tr>
    </w:tbl>
    <w:p/>
    <w:p>
      <w:r>
        <w:rPr>
          <w:i/>
          <w:color w:val="7A7A7A"/>
          <w:sz w:val="16"/>
        </w:rPr>
        <w:t>Supersedes the earlier Document Control Standard and Numbering Convention issued before the numbering was settled. Issued through the Common Data Environment. Uncontrolled when printed.</w:t>
      </w:r>
    </w:p>
    <w:p>
      <w:r>
        <w:br w:type="page"/>
      </w:r>
    </w:p>
    <w:p>
      <w:pPr>
        <w:pStyle w:val="Heading1"/>
        <w:pBdr>
          <w:bottom w:val="single" w:sz="8" w:space="4" w:color="1F3654"/>
        </w:pBdr>
      </w:pPr>
      <w:r>
        <w:t>Document control</w:t>
      </w: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 Supersedes the earlier standard and numbering convention</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Status of this document</w:t>
      </w:r>
    </w:p>
    <w:p>
      <w:r>
        <w:rPr>
          <w:b w:val="0"/>
          <w:i w:val="0"/>
        </w:rPr>
        <w:t>This standard sets out how project information is numbered, revised, issued, superseded and retired. It applies to every container produced by every appointed party, for the full duration of the appointment.</w:t>
      </w:r>
    </w:p>
    <w:p>
      <w:r>
        <w:rPr>
          <w:b w:val="0"/>
          <w:i w:val="0"/>
        </w:rPr>
        <w:t>The BIM Execution Plan is the contractual statement of the information requirements, and Section 4.2 of that plan states the container naming convention. This standard states the same convention and adds the procedure that surrounds it. Where the two differ, the BIM Execution Plan takes precedence and this standard is corrected at the next revision.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SUPERSEDED DOCUMENTS</w:t>
            </w:r>
          </w:p>
          <w:p>
            <w:r>
              <w:rPr>
                <w:b w:val="0"/>
                <w:sz w:val="19"/>
              </w:rPr>
              <w:t>Two earlier documents are superseded by this one: the Document Control Standard and the Drawing and Document Numbering Convention issued before the numbering was settled. Both assume a four-character originator code and alphabetic volume codes. Container names built to either will be rejected by the compliance check. Withdraw any local copies.</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Scope and principles</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Container naming</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Sheet numbering</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Revision</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Suitability and authorisation</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Issue and transmittal</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Superseding, cancelling and replacing</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Number retirement and reuse</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The register</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Non-conformity</w:t>
            </w:r>
          </w:p>
        </w:tc>
      </w:tr>
    </w:tbl>
    <w:p>
      <w:pPr>
        <w:spacing w:after="40"/>
      </w:pPr>
    </w:p>
    <w:p>
      <w:r>
        <w:br w:type="page"/>
      </w:r>
    </w:p>
    <w:p>
      <w:pPr>
        <w:pStyle w:val="Heading1"/>
        <w:pBdr>
          <w:bottom w:val="single" w:sz="8" w:space="4" w:color="1F3654"/>
        </w:pBdr>
      </w:pPr>
      <w:r>
        <w:t>1  Scope and principles</w:t>
      </w:r>
    </w:p>
    <w:p>
      <w:r>
        <w:rPr>
          <w:b w:val="0"/>
          <w:i w:val="0"/>
        </w:rPr>
        <w:t>Every piece of information produced for this project is a container: a model, a drawing, a sheet, a schedule, a report, a specification, a calculation or a notice. Every container has a name, a revision and a suitability, and appears in the register.</w:t>
      </w:r>
    </w:p>
    <w:p>
      <w:pPr>
        <w:spacing w:after="60"/>
        <w:ind w:left="454"/>
      </w:pPr>
      <w:r>
        <w:rPr>
          <w:b/>
        </w:rPr>
        <w:t xml:space="preserve">1. </w:t>
      </w:r>
      <w:r>
        <w:rPr>
          <w:b/>
        </w:rPr>
        <w:t>A container is identified by its name, not by its file name on a local machine.</w:t>
      </w:r>
      <w:r>
        <w:rPr>
          <w:b w:val="0"/>
        </w:rPr>
        <w:t xml:space="preserve"> The name is the same in the register, on the sheet, in the transmittal and in the model.</w:t>
      </w:r>
    </w:p>
    <w:p>
      <w:pPr>
        <w:spacing w:after="60"/>
        <w:ind w:left="454"/>
      </w:pPr>
      <w:r>
        <w:rPr>
          <w:b/>
        </w:rPr>
        <w:t xml:space="preserve">2. </w:t>
      </w:r>
      <w:r>
        <w:rPr>
          <w:b/>
        </w:rPr>
        <w:t>Nothing is issued outside the Common Data Environment.</w:t>
      </w:r>
      <w:r>
        <w:rPr>
          <w:b w:val="0"/>
        </w:rPr>
        <w:t xml:space="preserve"> Information sent by email, messaging application or portable media has not been issued and carries no status.</w:t>
      </w:r>
    </w:p>
    <w:p>
      <w:pPr>
        <w:spacing w:after="60"/>
        <w:ind w:left="454"/>
      </w:pPr>
      <w:r>
        <w:rPr>
          <w:b/>
        </w:rPr>
        <w:t xml:space="preserve">3. </w:t>
      </w:r>
      <w:r>
        <w:rPr>
          <w:b/>
        </w:rPr>
        <w:t>A number is allocated once and is never reused.</w:t>
      </w:r>
      <w:r>
        <w:rPr>
          <w:b w:val="0"/>
        </w:rPr>
        <w:t xml:space="preserve"> A cancelled drawing keeps its number for the life of the project; the number is retired, not recycled.</w:t>
      </w:r>
    </w:p>
    <w:p>
      <w:pPr>
        <w:spacing w:after="60"/>
        <w:ind w:left="454"/>
      </w:pPr>
      <w:r>
        <w:rPr>
          <w:b/>
        </w:rPr>
        <w:t xml:space="preserve">4. </w:t>
      </w:r>
      <w:r>
        <w:rPr>
          <w:b/>
        </w:rPr>
        <w:t>Revision and suitability are different things.</w:t>
      </w:r>
      <w:r>
        <w:rPr>
          <w:b w:val="0"/>
        </w:rPr>
        <w:t xml:space="preserve"> The revision says which version this is. The suitability says what it may be used for. Both change, and they change for different reasons.</w:t>
      </w:r>
    </w:p>
    <w:p>
      <w:r>
        <w:br w:type="page"/>
      </w:r>
    </w:p>
    <w:p>
      <w:pPr>
        <w:pStyle w:val="Heading1"/>
        <w:pBdr>
          <w:bottom w:val="single" w:sz="8" w:space="4" w:color="1F3654"/>
        </w:pBdr>
      </w:pPr>
      <w:r>
        <w:t>2  Container naming</w:t>
      </w:r>
    </w:p>
    <w:p>
      <w:r>
        <w:rPr>
          <w:b w:val="0"/>
          <w:i w:val="0"/>
        </w:rPr>
        <w:t>Every container name has seven fields, separated by hyphens, in this order.</w:t>
      </w:r>
    </w:p>
    <w:p>
      <w:pPr>
        <w:jc w:val="center"/>
      </w:pPr>
      <w:r>
        <w:rPr>
          <w:rFonts w:ascii="Consolas" w:hAnsi="Consolas"/>
          <w:b/>
          <w:color w:val="1F3654"/>
          <w:sz w:val="26"/>
        </w:rPr>
        <w:t>KUT - SMB - 01 - GF - M3 - A - 0001</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Field</w:t>
            </w:r>
          </w:p>
        </w:tc>
        <w:tc>
          <w:tcPr>
            <w:tcW w:type="dxa" w:w="2041"/>
            <w:shd w:val="clear" w:fill="E8EDF3"/>
          </w:tcPr>
          <w:p>
            <w:r/>
            <w:r>
              <w:rPr>
                <w:b/>
                <w:color w:val="1F3654"/>
                <w:sz w:val="17"/>
              </w:rPr>
              <w:t>Length</w:t>
            </w:r>
          </w:p>
        </w:tc>
        <w:tc>
          <w:tcPr>
            <w:tcW w:type="dxa" w:w="5896"/>
            <w:shd w:val="clear" w:fill="E8EDF3"/>
          </w:tcPr>
          <w:p>
            <w:r/>
            <w:r>
              <w:rPr>
                <w:b/>
                <w:color w:val="1F3654"/>
                <w:sz w:val="17"/>
              </w:rPr>
              <w:t>Permitted values</w:t>
            </w:r>
          </w:p>
        </w:tc>
      </w:tr>
      <w:tr>
        <w:tc>
          <w:tcPr>
            <w:tcW w:type="dxa" w:w="1474"/>
          </w:tcPr>
          <w:p>
            <w:pPr>
              <w:spacing w:after="40"/>
            </w:pPr>
            <w:r>
              <w:rPr>
                <w:sz w:val="17"/>
              </w:rPr>
            </w:r>
            <w:r>
              <w:rPr>
                <w:b w:val="0"/>
                <w:sz w:val="17"/>
              </w:rPr>
              <w:t>Project</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KUT</w:t>
            </w:r>
          </w:p>
        </w:tc>
      </w:tr>
      <w:tr>
        <w:tc>
          <w:tcPr>
            <w:tcW w:type="dxa" w:w="1474"/>
          </w:tcPr>
          <w:p>
            <w:pPr>
              <w:spacing w:after="40"/>
            </w:pPr>
            <w:r>
              <w:rPr>
                <w:sz w:val="17"/>
              </w:rPr>
            </w:r>
            <w:r>
              <w:rPr>
                <w:b w:val="0"/>
                <w:sz w:val="17"/>
              </w:rPr>
              <w:t>Originator</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Per the originator register</w:t>
            </w:r>
          </w:p>
        </w:tc>
      </w:tr>
      <w:tr>
        <w:tc>
          <w:tcPr>
            <w:tcW w:type="dxa" w:w="1474"/>
          </w:tcPr>
          <w:p>
            <w:pPr>
              <w:spacing w:after="40"/>
            </w:pPr>
            <w:r>
              <w:rPr>
                <w:sz w:val="17"/>
              </w:rPr>
            </w:r>
            <w:r>
              <w:rPr>
                <w:b w:val="0"/>
                <w:sz w:val="17"/>
              </w:rPr>
              <w:t>Volume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01, 02, 03, 04, 05, 06, 00, ZZ</w:t>
            </w:r>
          </w:p>
        </w:tc>
      </w:tr>
      <w:tr>
        <w:tc>
          <w:tcPr>
            <w:tcW w:type="dxa" w:w="1474"/>
          </w:tcPr>
          <w:p>
            <w:pPr>
              <w:spacing w:after="40"/>
            </w:pPr>
            <w:r>
              <w:rPr>
                <w:sz w:val="17"/>
              </w:rPr>
            </w:r>
            <w:r>
              <w:rPr>
                <w:b w:val="0"/>
                <w:sz w:val="17"/>
              </w:rPr>
              <w:t>Level</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B1 basement, GF ground floor, 01 first floor, and upward in sequence, RF roof, ZZ all levels, XX not applicable</w:t>
            </w:r>
          </w:p>
        </w:tc>
      </w:tr>
      <w:tr>
        <w:tc>
          <w:tcPr>
            <w:tcW w:type="dxa" w:w="1474"/>
          </w:tcPr>
          <w:p>
            <w:pPr>
              <w:spacing w:after="40"/>
            </w:pPr>
            <w:r>
              <w:rPr>
                <w:sz w:val="17"/>
              </w:rPr>
            </w:r>
            <w:r>
              <w:rPr>
                <w:b w:val="0"/>
                <w:sz w:val="17"/>
              </w:rPr>
              <w:t>Type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M3, M2, DR, SH, SC, SP, RP, CA, RD, MS, PP, CR, TR, BQ</w:t>
            </w:r>
          </w:p>
        </w:tc>
      </w:tr>
      <w:tr>
        <w:tc>
          <w:tcPr>
            <w:tcW w:type="dxa" w:w="1474"/>
          </w:tcPr>
          <w:p>
            <w:pPr>
              <w:spacing w:after="40"/>
            </w:pPr>
            <w:r>
              <w:rPr>
                <w:sz w:val="17"/>
              </w:rPr>
            </w:r>
            <w:r>
              <w:rPr>
                <w:b w:val="0"/>
                <w:sz w:val="17"/>
              </w:rPr>
              <w:t>Role</w:t>
            </w:r>
          </w:p>
        </w:tc>
        <w:tc>
          <w:tcPr>
            <w:tcW w:type="dxa" w:w="2041"/>
          </w:tcPr>
          <w:p>
            <w:pPr>
              <w:spacing w:after="40"/>
            </w:pPr>
            <w:r>
              <w:rPr>
                <w:sz w:val="17"/>
              </w:rPr>
            </w:r>
            <w:r>
              <w:rPr>
                <w:b w:val="0"/>
                <w:sz w:val="17"/>
              </w:rPr>
              <w:t>1 to 2</w:t>
            </w:r>
          </w:p>
        </w:tc>
        <w:tc>
          <w:tcPr>
            <w:tcW w:type="dxa" w:w="5896"/>
          </w:tcPr>
          <w:p>
            <w:pPr>
              <w:spacing w:after="40"/>
            </w:pPr>
            <w:r>
              <w:rPr>
                <w:sz w:val="17"/>
              </w:rPr>
            </w:r>
            <w:r>
              <w:rPr>
                <w:b w:val="0"/>
                <w:sz w:val="17"/>
              </w:rPr>
              <w:t>A, S, M, E, P, FP, LV, G. Z is used for multi-discipline and federated containers</w:t>
            </w:r>
          </w:p>
        </w:tc>
      </w:tr>
      <w:tr>
        <w:tc>
          <w:tcPr>
            <w:tcW w:type="dxa" w:w="1474"/>
          </w:tcPr>
          <w:p>
            <w:pPr>
              <w:spacing w:after="40"/>
            </w:pPr>
            <w:r>
              <w:rPr>
                <w:sz w:val="17"/>
              </w:rPr>
            </w:r>
            <w:r>
              <w:rPr>
                <w:b w:val="0"/>
                <w:sz w:val="17"/>
              </w:rPr>
              <w:t>Number</w:t>
            </w:r>
          </w:p>
        </w:tc>
        <w:tc>
          <w:tcPr>
            <w:tcW w:type="dxa" w:w="2041"/>
          </w:tcPr>
          <w:p>
            <w:pPr>
              <w:spacing w:after="40"/>
            </w:pPr>
            <w:r>
              <w:rPr>
                <w:sz w:val="17"/>
              </w:rPr>
            </w:r>
            <w:r>
              <w:rPr>
                <w:b w:val="0"/>
                <w:sz w:val="17"/>
              </w:rPr>
              <w:t>4</w:t>
            </w:r>
          </w:p>
        </w:tc>
        <w:tc>
          <w:tcPr>
            <w:tcW w:type="dxa" w:w="5896"/>
          </w:tcPr>
          <w:p>
            <w:pPr>
              <w:spacing w:after="40"/>
            </w:pPr>
            <w:r>
              <w:rPr>
                <w:sz w:val="17"/>
              </w:rPr>
            </w:r>
            <w:r>
              <w:rPr>
                <w:b w:val="0"/>
                <w:sz w:val="17"/>
              </w:rPr>
              <w:t>Sequential within the set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w:t>
            </w:r>
          </w:p>
          <w:p>
            <w:r>
              <w:rPr>
                <w:b w:val="0"/>
                <w:sz w:val="19"/>
              </w:rPr>
              <w:t xml:space="preserve">The originator code register has not yet been issued by the Lead Appointed Party. `SMB` is used provisionally for information management. </w:t>
            </w:r>
            <w:r>
              <w:rPr>
                <w:b/>
                <w:sz w:val="19"/>
              </w:rPr>
              <w:t>No container is to be numbered until the register is issued</w:t>
            </w:r>
            <w:r>
              <w:rPr>
                <w:b w:val="0"/>
                <w:sz w:val="19"/>
              </w:rPr>
              <w:t xml:space="preserve"> — renumbering after Deliverable A affects every issued document, every transmittal and every reference in a report.</w:t>
            </w:r>
          </w:p>
        </w:tc>
      </w:tr>
    </w:tbl>
    <w:p>
      <w:pPr>
        <w:spacing w:after="40"/>
      </w:pPr>
    </w:p>
    <w:p>
      <w:pPr>
        <w:pStyle w:val="Heading2"/>
      </w:pPr>
      <w:r>
        <w:t>2.1  Volumes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814"/>
            <w:shd w:val="clear" w:fill="E8EDF3"/>
          </w:tcPr>
          <w:p>
            <w:r/>
            <w:r>
              <w:rPr>
                <w:b/>
                <w:color w:val="1F3654"/>
                <w:sz w:val="17"/>
              </w:rPr>
              <w:t>Numbering value</w:t>
            </w:r>
          </w:p>
        </w:tc>
        <w:tc>
          <w:tcPr>
            <w:tcW w:type="dxa" w:w="1701"/>
            <w:shd w:val="clear" w:fill="E8EDF3"/>
          </w:tcPr>
          <w:p>
            <w:r/>
            <w:r>
              <w:rPr>
                <w:b/>
                <w:color w:val="1F3654"/>
                <w:sz w:val="17"/>
              </w:rPr>
              <w:t>Volume code</w:t>
            </w:r>
          </w:p>
        </w:tc>
        <w:tc>
          <w:tcPr>
            <w:tcW w:type="dxa" w:w="3628"/>
            <w:shd w:val="clear" w:fill="E8EDF3"/>
          </w:tcPr>
          <w:p>
            <w:r/>
            <w:r>
              <w:rPr>
                <w:b/>
                <w:color w:val="1F3654"/>
                <w:sz w:val="17"/>
              </w:rPr>
              <w:t>Volume</w:t>
            </w:r>
          </w:p>
        </w:tc>
        <w:tc>
          <w:tcPr>
            <w:tcW w:type="dxa" w:w="2268"/>
            <w:shd w:val="clear" w:fill="E8EDF3"/>
          </w:tcPr>
          <w:p>
            <w:r/>
            <w:r>
              <w:rPr>
                <w:b/>
                <w:color w:val="1F3654"/>
                <w:sz w:val="17"/>
              </w:rPr>
              <w:t>Gross internal area</w:t>
            </w:r>
          </w:p>
        </w:tc>
      </w:tr>
      <w:tr>
        <w:tc>
          <w:tcPr>
            <w:tcW w:type="dxa" w:w="1814"/>
          </w:tcPr>
          <w:p>
            <w:pPr>
              <w:spacing w:after="40"/>
            </w:pPr>
            <w:r>
              <w:rPr>
                <w:sz w:val="17"/>
              </w:rPr>
            </w:r>
            <w:r>
              <w:rPr>
                <w:b w:val="0"/>
                <w:sz w:val="17"/>
              </w:rPr>
              <w:t>01</w:t>
            </w:r>
          </w:p>
        </w:tc>
        <w:tc>
          <w:tcPr>
            <w:tcW w:type="dxa" w:w="1701"/>
          </w:tcPr>
          <w:p>
            <w:pPr>
              <w:spacing w:after="40"/>
            </w:pPr>
            <w:r>
              <w:rPr>
                <w:sz w:val="17"/>
              </w:rPr>
            </w:r>
            <w:r>
              <w:rPr>
                <w:b w:val="0"/>
                <w:sz w:val="17"/>
              </w:rPr>
              <w:t>BLD1</w:t>
            </w:r>
          </w:p>
        </w:tc>
        <w:tc>
          <w:tcPr>
            <w:tcW w:type="dxa" w:w="3628"/>
          </w:tcPr>
          <w:p>
            <w:pPr>
              <w:spacing w:after="40"/>
            </w:pPr>
            <w:r>
              <w:rPr>
                <w:sz w:val="17"/>
              </w:rPr>
            </w:r>
            <w:r>
              <w:rPr>
                <w:b w:val="0"/>
                <w:sz w:val="17"/>
              </w:rPr>
              <w:t>Temple</w:t>
            </w:r>
          </w:p>
        </w:tc>
        <w:tc>
          <w:tcPr>
            <w:tcW w:type="dxa" w:w="2268"/>
          </w:tcPr>
          <w:p>
            <w:pPr>
              <w:spacing w:after="40"/>
            </w:pPr>
            <w:r>
              <w:rPr>
                <w:sz w:val="17"/>
              </w:rPr>
            </w:r>
            <w:r>
              <w:rPr>
                <w:b w:val="0"/>
                <w:sz w:val="17"/>
              </w:rPr>
              <w:t>2,449 m²</w:t>
            </w:r>
          </w:p>
        </w:tc>
      </w:tr>
      <w:tr>
        <w:tc>
          <w:tcPr>
            <w:tcW w:type="dxa" w:w="1814"/>
          </w:tcPr>
          <w:p>
            <w:pPr>
              <w:spacing w:after="40"/>
            </w:pPr>
            <w:r>
              <w:rPr>
                <w:sz w:val="17"/>
              </w:rPr>
            </w:r>
            <w:r>
              <w:rPr>
                <w:b w:val="0"/>
                <w:sz w:val="17"/>
              </w:rPr>
              <w:t>02</w:t>
            </w:r>
          </w:p>
        </w:tc>
        <w:tc>
          <w:tcPr>
            <w:tcW w:type="dxa" w:w="1701"/>
          </w:tcPr>
          <w:p>
            <w:pPr>
              <w:spacing w:after="40"/>
            </w:pPr>
            <w:r>
              <w:rPr>
                <w:sz w:val="17"/>
              </w:rPr>
            </w:r>
            <w:r>
              <w:rPr>
                <w:b w:val="0"/>
                <w:sz w:val="17"/>
              </w:rPr>
              <w:t>BLD2</w:t>
            </w:r>
          </w:p>
        </w:tc>
        <w:tc>
          <w:tcPr>
            <w:tcW w:type="dxa" w:w="3628"/>
          </w:tcPr>
          <w:p>
            <w:pPr>
              <w:spacing w:after="40"/>
            </w:pPr>
            <w:r>
              <w:rPr>
                <w:sz w:val="17"/>
              </w:rPr>
            </w:r>
            <w:r>
              <w:rPr>
                <w:b w:val="0"/>
                <w:sz w:val="17"/>
              </w:rPr>
              <w:t>Meetinghouse</w:t>
            </w:r>
          </w:p>
        </w:tc>
        <w:tc>
          <w:tcPr>
            <w:tcW w:type="dxa" w:w="2268"/>
          </w:tcPr>
          <w:p>
            <w:pPr>
              <w:spacing w:after="40"/>
            </w:pPr>
            <w:r>
              <w:rPr>
                <w:sz w:val="17"/>
              </w:rPr>
            </w:r>
            <w:r>
              <w:rPr>
                <w:b w:val="0"/>
                <w:sz w:val="17"/>
              </w:rPr>
              <w:t>1,312 m²</w:t>
            </w:r>
          </w:p>
        </w:tc>
      </w:tr>
      <w:tr>
        <w:tc>
          <w:tcPr>
            <w:tcW w:type="dxa" w:w="1814"/>
          </w:tcPr>
          <w:p>
            <w:pPr>
              <w:spacing w:after="40"/>
            </w:pPr>
            <w:r>
              <w:rPr>
                <w:sz w:val="17"/>
              </w:rPr>
            </w:r>
            <w:r>
              <w:rPr>
                <w:b w:val="0"/>
                <w:sz w:val="17"/>
              </w:rPr>
              <w:t>03</w:t>
            </w:r>
          </w:p>
        </w:tc>
        <w:tc>
          <w:tcPr>
            <w:tcW w:type="dxa" w:w="1701"/>
          </w:tcPr>
          <w:p>
            <w:pPr>
              <w:spacing w:after="40"/>
            </w:pPr>
            <w:r>
              <w:rPr>
                <w:sz w:val="17"/>
              </w:rPr>
            </w:r>
            <w:r>
              <w:rPr>
                <w:b w:val="0"/>
                <w:sz w:val="17"/>
              </w:rPr>
              <w:t>BLD3</w:t>
            </w:r>
          </w:p>
        </w:tc>
        <w:tc>
          <w:tcPr>
            <w:tcW w:type="dxa" w:w="3628"/>
          </w:tcPr>
          <w:p>
            <w:pPr>
              <w:spacing w:after="40"/>
            </w:pPr>
            <w:r>
              <w:rPr>
                <w:sz w:val="17"/>
              </w:rPr>
            </w:r>
            <w:r>
              <w:rPr>
                <w:b w:val="0"/>
                <w:sz w:val="17"/>
              </w:rPr>
              <w:t>Housing and ancillary</w:t>
            </w:r>
          </w:p>
        </w:tc>
        <w:tc>
          <w:tcPr>
            <w:tcW w:type="dxa" w:w="2268"/>
          </w:tcPr>
          <w:p>
            <w:pPr>
              <w:spacing w:after="40"/>
            </w:pPr>
            <w:r>
              <w:rPr>
                <w:sz w:val="17"/>
              </w:rPr>
            </w:r>
            <w:r>
              <w:rPr>
                <w:b w:val="0"/>
                <w:sz w:val="17"/>
              </w:rPr>
              <w:t>2,554 m²</w:t>
            </w:r>
          </w:p>
        </w:tc>
      </w:tr>
      <w:tr>
        <w:tc>
          <w:tcPr>
            <w:tcW w:type="dxa" w:w="1814"/>
          </w:tcPr>
          <w:p>
            <w:pPr>
              <w:spacing w:after="40"/>
            </w:pPr>
            <w:r>
              <w:rPr>
                <w:sz w:val="17"/>
              </w:rPr>
            </w:r>
            <w:r>
              <w:rPr>
                <w:b w:val="0"/>
                <w:sz w:val="17"/>
              </w:rPr>
              <w:t>04</w:t>
            </w:r>
          </w:p>
        </w:tc>
        <w:tc>
          <w:tcPr>
            <w:tcW w:type="dxa" w:w="1701"/>
          </w:tcPr>
          <w:p>
            <w:pPr>
              <w:spacing w:after="40"/>
            </w:pPr>
            <w:r>
              <w:rPr>
                <w:sz w:val="17"/>
              </w:rPr>
            </w:r>
            <w:r>
              <w:rPr>
                <w:b w:val="0"/>
                <w:sz w:val="17"/>
              </w:rPr>
              <w:t>BLD4</w:t>
            </w:r>
          </w:p>
        </w:tc>
        <w:tc>
          <w:tcPr>
            <w:tcW w:type="dxa" w:w="3628"/>
          </w:tcPr>
          <w:p>
            <w:pPr>
              <w:spacing w:after="40"/>
            </w:pPr>
            <w:r>
              <w:rPr>
                <w:sz w:val="17"/>
              </w:rPr>
            </w:r>
            <w:r>
              <w:rPr>
                <w:b w:val="0"/>
                <w:sz w:val="17"/>
              </w:rPr>
              <w:t>Grounds building</w:t>
            </w:r>
          </w:p>
        </w:tc>
        <w:tc>
          <w:tcPr>
            <w:tcW w:type="dxa" w:w="2268"/>
          </w:tcPr>
          <w:p>
            <w:pPr>
              <w:spacing w:after="40"/>
            </w:pPr>
            <w:r>
              <w:rPr>
                <w:sz w:val="17"/>
              </w:rPr>
            </w:r>
            <w:r>
              <w:rPr>
                <w:b w:val="0"/>
                <w:sz w:val="17"/>
              </w:rPr>
              <w:t>93 m²</w:t>
            </w:r>
          </w:p>
        </w:tc>
      </w:tr>
      <w:tr>
        <w:tc>
          <w:tcPr>
            <w:tcW w:type="dxa" w:w="1814"/>
          </w:tcPr>
          <w:p>
            <w:pPr>
              <w:spacing w:after="40"/>
            </w:pPr>
            <w:r>
              <w:rPr>
                <w:sz w:val="17"/>
              </w:rPr>
            </w:r>
            <w:r>
              <w:rPr>
                <w:b w:val="0"/>
                <w:sz w:val="17"/>
              </w:rPr>
              <w:t>05</w:t>
            </w:r>
          </w:p>
        </w:tc>
        <w:tc>
          <w:tcPr>
            <w:tcW w:type="dxa" w:w="1701"/>
          </w:tcPr>
          <w:p>
            <w:pPr>
              <w:spacing w:after="40"/>
            </w:pPr>
            <w:r>
              <w:rPr>
                <w:sz w:val="17"/>
              </w:rPr>
            </w:r>
            <w:r>
              <w:rPr>
                <w:b w:val="0"/>
                <w:sz w:val="17"/>
              </w:rPr>
              <w:t>BLD5</w:t>
            </w:r>
          </w:p>
        </w:tc>
        <w:tc>
          <w:tcPr>
            <w:tcW w:type="dxa" w:w="3628"/>
          </w:tcPr>
          <w:p>
            <w:pPr>
              <w:spacing w:after="40"/>
            </w:pPr>
            <w:r>
              <w:rPr>
                <w:sz w:val="17"/>
              </w:rPr>
            </w:r>
            <w:r>
              <w:rPr>
                <w:b w:val="0"/>
                <w:sz w:val="17"/>
              </w:rPr>
              <w:t>Utility building</w:t>
            </w:r>
          </w:p>
        </w:tc>
        <w:tc>
          <w:tcPr>
            <w:tcW w:type="dxa" w:w="2268"/>
          </w:tcPr>
          <w:p>
            <w:pPr>
              <w:spacing w:after="40"/>
            </w:pPr>
            <w:r>
              <w:rPr>
                <w:sz w:val="17"/>
              </w:rPr>
            </w:r>
            <w:r>
              <w:rPr>
                <w:b w:val="0"/>
                <w:sz w:val="17"/>
              </w:rPr>
              <w:t>166 m²</w:t>
            </w:r>
          </w:p>
        </w:tc>
      </w:tr>
      <w:tr>
        <w:tc>
          <w:tcPr>
            <w:tcW w:type="dxa" w:w="1814"/>
          </w:tcPr>
          <w:p>
            <w:pPr>
              <w:spacing w:after="40"/>
            </w:pPr>
            <w:r>
              <w:rPr>
                <w:sz w:val="17"/>
              </w:rPr>
            </w:r>
            <w:r>
              <w:rPr>
                <w:b w:val="0"/>
                <w:sz w:val="17"/>
              </w:rPr>
              <w:t>06</w:t>
            </w:r>
          </w:p>
        </w:tc>
        <w:tc>
          <w:tcPr>
            <w:tcW w:type="dxa" w:w="1701"/>
          </w:tcPr>
          <w:p>
            <w:pPr>
              <w:spacing w:after="40"/>
            </w:pPr>
            <w:r>
              <w:rPr>
                <w:sz w:val="17"/>
              </w:rPr>
            </w:r>
            <w:r>
              <w:rPr>
                <w:b w:val="0"/>
                <w:sz w:val="17"/>
              </w:rPr>
              <w:t>BLD6</w:t>
            </w:r>
          </w:p>
        </w:tc>
        <w:tc>
          <w:tcPr>
            <w:tcW w:type="dxa" w:w="3628"/>
          </w:tcPr>
          <w:p>
            <w:pPr>
              <w:spacing w:after="40"/>
            </w:pPr>
            <w:r>
              <w:rPr>
                <w:sz w:val="17"/>
              </w:rPr>
            </w:r>
            <w:r>
              <w:rPr>
                <w:b w:val="0"/>
                <w:sz w:val="17"/>
              </w:rPr>
              <w:t>Guard house</w:t>
            </w:r>
          </w:p>
        </w:tc>
        <w:tc>
          <w:tcPr>
            <w:tcW w:type="dxa" w:w="2268"/>
          </w:tcPr>
          <w:p>
            <w:pPr>
              <w:spacing w:after="40"/>
            </w:pPr>
            <w:r>
              <w:rPr>
                <w:sz w:val="17"/>
              </w:rPr>
            </w:r>
            <w:r>
              <w:rPr>
                <w:b w:val="0"/>
                <w:sz w:val="17"/>
              </w:rPr>
              <w:t>23 m²</w:t>
            </w:r>
          </w:p>
        </w:tc>
      </w:tr>
      <w:tr>
        <w:tc>
          <w:tcPr>
            <w:tcW w:type="dxa" w:w="1814"/>
          </w:tcPr>
          <w:p>
            <w:pPr>
              <w:spacing w:after="40"/>
            </w:pPr>
            <w:r>
              <w:rPr>
                <w:sz w:val="17"/>
              </w:rPr>
            </w:r>
            <w:r>
              <w:rPr>
                <w:b w:val="0"/>
                <w:sz w:val="17"/>
              </w:rPr>
              <w:t>00</w:t>
            </w:r>
          </w:p>
        </w:tc>
        <w:tc>
          <w:tcPr>
            <w:tcW w:type="dxa" w:w="1701"/>
          </w:tcPr>
          <w:p>
            <w:pPr>
              <w:spacing w:after="40"/>
            </w:pPr>
            <w:r>
              <w:rPr>
                <w:sz w:val="17"/>
              </w:rPr>
            </w:r>
            <w:r>
              <w:rPr>
                <w:b w:val="0"/>
                <w:sz w:val="17"/>
              </w:rPr>
              <w:t>EXT</w:t>
            </w:r>
          </w:p>
        </w:tc>
        <w:tc>
          <w:tcPr>
            <w:tcW w:type="dxa" w:w="3628"/>
          </w:tcPr>
          <w:p>
            <w:pPr>
              <w:spacing w:after="40"/>
            </w:pPr>
            <w:r>
              <w:rPr>
                <w:sz w:val="17"/>
              </w:rPr>
            </w:r>
            <w:r>
              <w:rPr>
                <w:b w:val="0"/>
                <w:sz w:val="17"/>
              </w:rPr>
              <w:t>Site-wide and external works</w:t>
            </w:r>
          </w:p>
        </w:tc>
        <w:tc>
          <w:tcPr>
            <w:tcW w:type="dxa" w:w="2268"/>
          </w:tcPr>
          <w:p>
            <w:pPr>
              <w:spacing w:after="40"/>
            </w:pPr>
            <w:r>
              <w:rPr>
                <w:sz w:val="17"/>
              </w:rPr>
            </w:r>
            <w:r>
              <w:rPr>
                <w:b w:val="0"/>
                <w:sz w:val="17"/>
              </w:rPr>
              <w:t>—</w:t>
            </w:r>
          </w:p>
        </w:tc>
      </w:tr>
      <w:tr>
        <w:tc>
          <w:tcPr>
            <w:tcW w:type="dxa" w:w="1814"/>
          </w:tcPr>
          <w:p>
            <w:pPr>
              <w:spacing w:after="40"/>
            </w:pPr>
            <w:r>
              <w:rPr>
                <w:sz w:val="17"/>
              </w:rPr>
            </w:r>
            <w:r>
              <w:rPr>
                <w:b w:val="0"/>
                <w:sz w:val="17"/>
              </w:rPr>
              <w:t>ZZ</w:t>
            </w:r>
          </w:p>
        </w:tc>
        <w:tc>
          <w:tcPr>
            <w:tcW w:type="dxa" w:w="1701"/>
          </w:tcPr>
          <w:p>
            <w:pPr>
              <w:spacing w:after="40"/>
            </w:pPr>
            <w:r>
              <w:rPr>
                <w:sz w:val="17"/>
              </w:rPr>
            </w:r>
            <w:r>
              <w:rPr>
                <w:b w:val="0"/>
                <w:sz w:val="17"/>
              </w:rPr>
              <w:t>ZZ</w:t>
            </w:r>
          </w:p>
        </w:tc>
        <w:tc>
          <w:tcPr>
            <w:tcW w:type="dxa" w:w="3628"/>
          </w:tcPr>
          <w:p>
            <w:pPr>
              <w:spacing w:after="40"/>
            </w:pPr>
            <w:r>
              <w:rPr>
                <w:sz w:val="17"/>
              </w:rPr>
            </w:r>
            <w:r>
              <w:rPr>
                <w:b w:val="0"/>
                <w:sz w:val="17"/>
              </w:rPr>
              <w:t>All volumes</w:t>
            </w:r>
          </w:p>
        </w:tc>
        <w:tc>
          <w:tcPr>
            <w:tcW w:type="dxa" w:w="2268"/>
          </w:tcPr>
          <w:p>
            <w:pPr>
              <w:spacing w:after="40"/>
            </w:pPr>
            <w:r>
              <w:rPr>
                <w:sz w:val="17"/>
              </w:rPr>
            </w:r>
            <w:r>
              <w:rPr>
                <w:b w:val="0"/>
                <w:sz w:val="17"/>
              </w:rPr>
              <w:t>—</w:t>
            </w:r>
          </w:p>
        </w:tc>
      </w:tr>
    </w:tbl>
    <w:p>
      <w:pPr>
        <w:spacing w:after="40"/>
      </w:pPr>
    </w:p>
    <w:p>
      <w:r>
        <w:rPr>
          <w:b w:val="0"/>
          <w:i w:val="0"/>
        </w:rPr>
        <w:t>The numbering value is the field that appears in a container name. The volume code is the location token carried on an ELEMENT, which is a different string with a different grammar; the two are related here so they are not confused.</w:t>
      </w:r>
    </w:p>
    <w:p>
      <w:pPr>
        <w:pStyle w:val="Heading2"/>
      </w:pPr>
      <w:r>
        <w:t>2.2  Levels</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Level</w:t>
            </w:r>
          </w:p>
        </w:tc>
      </w:tr>
      <w:tr>
        <w:tc>
          <w:tcPr>
            <w:tcW w:type="dxa" w:w="1701"/>
          </w:tcPr>
          <w:p>
            <w:pPr>
              <w:spacing w:after="40"/>
            </w:pPr>
            <w:r>
              <w:rPr>
                <w:sz w:val="17"/>
              </w:rPr>
            </w:r>
            <w:r>
              <w:rPr>
                <w:b w:val="0"/>
                <w:sz w:val="17"/>
              </w:rPr>
              <w:t>B1</w:t>
            </w:r>
          </w:p>
        </w:tc>
        <w:tc>
          <w:tcPr>
            <w:tcW w:type="dxa" w:w="7710"/>
          </w:tcPr>
          <w:p>
            <w:pPr>
              <w:spacing w:after="40"/>
            </w:pPr>
            <w:r>
              <w:rPr>
                <w:sz w:val="17"/>
              </w:rPr>
            </w:r>
            <w:r>
              <w:rPr>
                <w:b w:val="0"/>
                <w:sz w:val="17"/>
              </w:rPr>
              <w:t>Basement</w:t>
            </w:r>
          </w:p>
        </w:tc>
      </w:tr>
      <w:tr>
        <w:tc>
          <w:tcPr>
            <w:tcW w:type="dxa" w:w="1701"/>
          </w:tcPr>
          <w:p>
            <w:pPr>
              <w:spacing w:after="40"/>
            </w:pPr>
            <w:r>
              <w:rPr>
                <w:sz w:val="17"/>
              </w:rPr>
            </w:r>
            <w:r>
              <w:rPr>
                <w:b w:val="0"/>
                <w:sz w:val="17"/>
              </w:rPr>
              <w:t>GF</w:t>
            </w:r>
          </w:p>
        </w:tc>
        <w:tc>
          <w:tcPr>
            <w:tcW w:type="dxa" w:w="7710"/>
          </w:tcPr>
          <w:p>
            <w:pPr>
              <w:spacing w:after="40"/>
            </w:pPr>
            <w:r>
              <w:rPr>
                <w:sz w:val="17"/>
              </w:rPr>
            </w:r>
            <w:r>
              <w:rPr>
                <w:b w:val="0"/>
                <w:sz w:val="17"/>
              </w:rPr>
              <w:t>Ground floor</w:t>
            </w:r>
          </w:p>
        </w:tc>
      </w:tr>
      <w:tr>
        <w:tc>
          <w:tcPr>
            <w:tcW w:type="dxa" w:w="1701"/>
          </w:tcPr>
          <w:p>
            <w:pPr>
              <w:spacing w:after="40"/>
            </w:pPr>
            <w:r>
              <w:rPr>
                <w:sz w:val="17"/>
              </w:rPr>
            </w:r>
            <w:r>
              <w:rPr>
                <w:b w:val="0"/>
                <w:sz w:val="17"/>
              </w:rPr>
              <w:t>01</w:t>
            </w:r>
          </w:p>
        </w:tc>
        <w:tc>
          <w:tcPr>
            <w:tcW w:type="dxa" w:w="7710"/>
          </w:tcPr>
          <w:p>
            <w:pPr>
              <w:spacing w:after="40"/>
            </w:pPr>
            <w:r>
              <w:rPr>
                <w:sz w:val="17"/>
              </w:rPr>
            </w:r>
            <w:r>
              <w:rPr>
                <w:b w:val="0"/>
                <w:sz w:val="17"/>
              </w:rPr>
              <w:t>First floor, and upward in sequence</w:t>
            </w:r>
          </w:p>
        </w:tc>
      </w:tr>
      <w:tr>
        <w:tc>
          <w:tcPr>
            <w:tcW w:type="dxa" w:w="1701"/>
          </w:tcPr>
          <w:p>
            <w:pPr>
              <w:spacing w:after="40"/>
            </w:pPr>
            <w:r>
              <w:rPr>
                <w:sz w:val="17"/>
              </w:rPr>
            </w:r>
            <w:r>
              <w:rPr>
                <w:b w:val="0"/>
                <w:sz w:val="17"/>
              </w:rPr>
              <w:t>RF</w:t>
            </w:r>
          </w:p>
        </w:tc>
        <w:tc>
          <w:tcPr>
            <w:tcW w:type="dxa" w:w="7710"/>
          </w:tcPr>
          <w:p>
            <w:pPr>
              <w:spacing w:after="40"/>
            </w:pPr>
            <w:r>
              <w:rPr>
                <w:sz w:val="17"/>
              </w:rPr>
            </w:r>
            <w:r>
              <w:rPr>
                <w:b w:val="0"/>
                <w:sz w:val="17"/>
              </w:rPr>
              <w:t>Roof</w:t>
            </w:r>
          </w:p>
        </w:tc>
      </w:tr>
      <w:tr>
        <w:tc>
          <w:tcPr>
            <w:tcW w:type="dxa" w:w="1701"/>
          </w:tcPr>
          <w:p>
            <w:pPr>
              <w:spacing w:after="40"/>
            </w:pPr>
            <w:r>
              <w:rPr>
                <w:sz w:val="17"/>
              </w:rPr>
            </w:r>
            <w:r>
              <w:rPr>
                <w:b w:val="0"/>
                <w:sz w:val="17"/>
              </w:rPr>
              <w:t>ZZ</w:t>
            </w:r>
          </w:p>
        </w:tc>
        <w:tc>
          <w:tcPr>
            <w:tcW w:type="dxa" w:w="7710"/>
          </w:tcPr>
          <w:p>
            <w:pPr>
              <w:spacing w:after="40"/>
            </w:pPr>
            <w:r>
              <w:rPr>
                <w:sz w:val="17"/>
              </w:rPr>
            </w:r>
            <w:r>
              <w:rPr>
                <w:b w:val="0"/>
                <w:sz w:val="17"/>
              </w:rPr>
              <w:t>All levels</w:t>
            </w:r>
          </w:p>
        </w:tc>
      </w:tr>
      <w:tr>
        <w:tc>
          <w:tcPr>
            <w:tcW w:type="dxa" w:w="1701"/>
          </w:tcPr>
          <w:p>
            <w:pPr>
              <w:spacing w:after="40"/>
            </w:pPr>
            <w:r>
              <w:rPr>
                <w:sz w:val="17"/>
              </w:rPr>
            </w:r>
            <w:r>
              <w:rPr>
                <w:b w:val="0"/>
                <w:sz w:val="17"/>
              </w:rPr>
              <w:t>XX</w:t>
            </w:r>
          </w:p>
        </w:tc>
        <w:tc>
          <w:tcPr>
            <w:tcW w:type="dxa" w:w="7710"/>
          </w:tcPr>
          <w:p>
            <w:pPr>
              <w:spacing w:after="40"/>
            </w:pPr>
            <w:r>
              <w:rPr>
                <w:sz w:val="17"/>
              </w:rPr>
            </w:r>
            <w:r>
              <w:rPr>
                <w:b w:val="0"/>
                <w:sz w:val="17"/>
              </w:rPr>
              <w:t>Not applicable</w:t>
            </w:r>
          </w:p>
        </w:tc>
      </w:tr>
    </w:tbl>
    <w:p>
      <w:pPr>
        <w:spacing w:after="40"/>
      </w:pPr>
    </w:p>
    <w:p>
      <w:r>
        <w:rPr>
          <w:b w:val="0"/>
          <w:i w:val="0"/>
        </w:rPr>
        <w:t>A container covering more than one level takes ZZ. A container to which level does not apply — a report, a specification, a schedule — takes XX.</w:t>
      </w:r>
    </w:p>
    <w:p>
      <w:pPr>
        <w:pStyle w:val="Heading2"/>
      </w:pPr>
      <w:r>
        <w:t>2.3  Types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134"/>
            <w:shd w:val="clear" w:fill="E8EDF3"/>
          </w:tcPr>
          <w:p>
            <w:r/>
            <w:r>
              <w:rPr>
                <w:b/>
                <w:color w:val="1F3654"/>
                <w:sz w:val="17"/>
              </w:rPr>
              <w:t>Code</w:t>
            </w:r>
          </w:p>
        </w:tc>
        <w:tc>
          <w:tcPr>
            <w:tcW w:type="dxa" w:w="3572"/>
            <w:shd w:val="clear" w:fill="E8EDF3"/>
          </w:tcPr>
          <w:p>
            <w:r/>
            <w:r>
              <w:rPr>
                <w:b/>
                <w:color w:val="1F3654"/>
                <w:sz w:val="17"/>
              </w:rPr>
              <w:t>Type</w:t>
            </w:r>
          </w:p>
        </w:tc>
        <w:tc>
          <w:tcPr>
            <w:tcW w:type="dxa" w:w="1134"/>
            <w:shd w:val="clear" w:fill="E8EDF3"/>
          </w:tcPr>
          <w:p>
            <w:r/>
            <w:r>
              <w:rPr>
                <w:b/>
                <w:color w:val="1F3654"/>
                <w:sz w:val="17"/>
              </w:rPr>
              <w:t>Code</w:t>
            </w:r>
          </w:p>
        </w:tc>
        <w:tc>
          <w:tcPr>
            <w:tcW w:type="dxa" w:w="3572"/>
            <w:shd w:val="clear" w:fill="E8EDF3"/>
          </w:tcPr>
          <w:p>
            <w:r/>
            <w:r>
              <w:rPr>
                <w:b/>
                <w:color w:val="1F3654"/>
                <w:sz w:val="17"/>
              </w:rPr>
              <w:t>Type</w:t>
            </w:r>
          </w:p>
        </w:tc>
      </w:tr>
      <w:tr>
        <w:tc>
          <w:tcPr>
            <w:tcW w:type="dxa" w:w="1134"/>
          </w:tcPr>
          <w:p>
            <w:pPr>
              <w:spacing w:after="40"/>
            </w:pPr>
            <w:r>
              <w:rPr>
                <w:sz w:val="17"/>
              </w:rPr>
            </w:r>
            <w:r>
              <w:rPr>
                <w:b w:val="0"/>
                <w:sz w:val="17"/>
              </w:rPr>
              <w:t>M3</w:t>
            </w:r>
          </w:p>
        </w:tc>
        <w:tc>
          <w:tcPr>
            <w:tcW w:type="dxa" w:w="3572"/>
          </w:tcPr>
          <w:p>
            <w:pPr>
              <w:spacing w:after="40"/>
            </w:pPr>
            <w:r>
              <w:rPr>
                <w:sz w:val="17"/>
              </w:rPr>
            </w:r>
            <w:r>
              <w:rPr>
                <w:b w:val="0"/>
                <w:sz w:val="17"/>
              </w:rPr>
              <w:t>3D model</w:t>
            </w:r>
          </w:p>
        </w:tc>
        <w:tc>
          <w:tcPr>
            <w:tcW w:type="dxa" w:w="1134"/>
          </w:tcPr>
          <w:p>
            <w:pPr>
              <w:spacing w:after="40"/>
            </w:pPr>
            <w:r>
              <w:rPr>
                <w:sz w:val="17"/>
              </w:rPr>
            </w:r>
            <w:r>
              <w:rPr>
                <w:b w:val="0"/>
                <w:sz w:val="17"/>
              </w:rPr>
              <w:t>CA</w:t>
            </w:r>
          </w:p>
        </w:tc>
        <w:tc>
          <w:tcPr>
            <w:tcW w:type="dxa" w:w="3572"/>
          </w:tcPr>
          <w:p>
            <w:pPr>
              <w:spacing w:after="40"/>
            </w:pPr>
            <w:r>
              <w:rPr>
                <w:sz w:val="17"/>
              </w:rPr>
            </w:r>
            <w:r>
              <w:rPr>
                <w:b w:val="0"/>
                <w:sz w:val="17"/>
              </w:rPr>
              <w:t>Calculation</w:t>
            </w:r>
          </w:p>
        </w:tc>
      </w:tr>
      <w:tr>
        <w:tc>
          <w:tcPr>
            <w:tcW w:type="dxa" w:w="1134"/>
          </w:tcPr>
          <w:p>
            <w:pPr>
              <w:spacing w:after="40"/>
            </w:pPr>
            <w:r>
              <w:rPr>
                <w:sz w:val="17"/>
              </w:rPr>
            </w:r>
            <w:r>
              <w:rPr>
                <w:b w:val="0"/>
                <w:sz w:val="17"/>
              </w:rPr>
              <w:t>M2</w:t>
            </w:r>
          </w:p>
        </w:tc>
        <w:tc>
          <w:tcPr>
            <w:tcW w:type="dxa" w:w="3572"/>
          </w:tcPr>
          <w:p>
            <w:pPr>
              <w:spacing w:after="40"/>
            </w:pPr>
            <w:r>
              <w:rPr>
                <w:sz w:val="17"/>
              </w:rPr>
            </w:r>
            <w:r>
              <w:rPr>
                <w:b w:val="0"/>
                <w:sz w:val="17"/>
              </w:rPr>
              <w:t>2D model or drafting</w:t>
            </w:r>
          </w:p>
        </w:tc>
        <w:tc>
          <w:tcPr>
            <w:tcW w:type="dxa" w:w="1134"/>
          </w:tcPr>
          <w:p>
            <w:pPr>
              <w:spacing w:after="40"/>
            </w:pPr>
            <w:r>
              <w:rPr>
                <w:sz w:val="17"/>
              </w:rPr>
            </w:r>
            <w:r>
              <w:rPr>
                <w:b w:val="0"/>
                <w:sz w:val="17"/>
              </w:rPr>
              <w:t>RD</w:t>
            </w:r>
          </w:p>
        </w:tc>
        <w:tc>
          <w:tcPr>
            <w:tcW w:type="dxa" w:w="3572"/>
          </w:tcPr>
          <w:p>
            <w:pPr>
              <w:spacing w:after="40"/>
            </w:pPr>
            <w:r>
              <w:rPr>
                <w:sz w:val="17"/>
              </w:rPr>
            </w:r>
            <w:r>
              <w:rPr>
                <w:b w:val="0"/>
                <w:sz w:val="17"/>
              </w:rPr>
              <w:t>Room data sheet</w:t>
            </w:r>
          </w:p>
        </w:tc>
      </w:tr>
      <w:tr>
        <w:tc>
          <w:tcPr>
            <w:tcW w:type="dxa" w:w="1134"/>
          </w:tcPr>
          <w:p>
            <w:pPr>
              <w:spacing w:after="40"/>
            </w:pPr>
            <w:r>
              <w:rPr>
                <w:sz w:val="17"/>
              </w:rPr>
            </w:r>
            <w:r>
              <w:rPr>
                <w:b w:val="0"/>
                <w:sz w:val="17"/>
              </w:rPr>
              <w:t>DR</w:t>
            </w:r>
          </w:p>
        </w:tc>
        <w:tc>
          <w:tcPr>
            <w:tcW w:type="dxa" w:w="3572"/>
          </w:tcPr>
          <w:p>
            <w:pPr>
              <w:spacing w:after="40"/>
            </w:pPr>
            <w:r>
              <w:rPr>
                <w:sz w:val="17"/>
              </w:rPr>
            </w:r>
            <w:r>
              <w:rPr>
                <w:b w:val="0"/>
                <w:sz w:val="17"/>
              </w:rPr>
              <w:t>Drawing</w:t>
            </w:r>
          </w:p>
        </w:tc>
        <w:tc>
          <w:tcPr>
            <w:tcW w:type="dxa" w:w="1134"/>
          </w:tcPr>
          <w:p>
            <w:pPr>
              <w:spacing w:after="40"/>
            </w:pPr>
            <w:r>
              <w:rPr>
                <w:sz w:val="17"/>
              </w:rPr>
            </w:r>
            <w:r>
              <w:rPr>
                <w:b w:val="0"/>
                <w:sz w:val="17"/>
              </w:rPr>
              <w:t>MS</w:t>
            </w:r>
          </w:p>
        </w:tc>
        <w:tc>
          <w:tcPr>
            <w:tcW w:type="dxa" w:w="3572"/>
          </w:tcPr>
          <w:p>
            <w:pPr>
              <w:spacing w:after="40"/>
            </w:pPr>
            <w:r>
              <w:rPr>
                <w:sz w:val="17"/>
              </w:rPr>
            </w:r>
            <w:r>
              <w:rPr>
                <w:b w:val="0"/>
                <w:sz w:val="17"/>
              </w:rPr>
              <w:t>Method statement</w:t>
            </w:r>
          </w:p>
        </w:tc>
      </w:tr>
      <w:tr>
        <w:tc>
          <w:tcPr>
            <w:tcW w:type="dxa" w:w="1134"/>
          </w:tcPr>
          <w:p>
            <w:pPr>
              <w:spacing w:after="40"/>
            </w:pPr>
            <w:r>
              <w:rPr>
                <w:sz w:val="17"/>
              </w:rPr>
            </w:r>
            <w:r>
              <w:rPr>
                <w:b w:val="0"/>
                <w:sz w:val="17"/>
              </w:rPr>
              <w:t>SH</w:t>
            </w:r>
          </w:p>
        </w:tc>
        <w:tc>
          <w:tcPr>
            <w:tcW w:type="dxa" w:w="3572"/>
          </w:tcPr>
          <w:p>
            <w:pPr>
              <w:spacing w:after="40"/>
            </w:pPr>
            <w:r>
              <w:rPr>
                <w:sz w:val="17"/>
              </w:rPr>
            </w:r>
            <w:r>
              <w:rPr>
                <w:b w:val="0"/>
                <w:sz w:val="17"/>
              </w:rPr>
              <w:t>Sheet</w:t>
            </w:r>
          </w:p>
        </w:tc>
        <w:tc>
          <w:tcPr>
            <w:tcW w:type="dxa" w:w="1134"/>
          </w:tcPr>
          <w:p>
            <w:pPr>
              <w:spacing w:after="40"/>
            </w:pPr>
            <w:r>
              <w:rPr>
                <w:sz w:val="17"/>
              </w:rPr>
            </w:r>
            <w:r>
              <w:rPr>
                <w:b w:val="0"/>
                <w:sz w:val="17"/>
              </w:rPr>
              <w:t>PP</w:t>
            </w:r>
          </w:p>
        </w:tc>
        <w:tc>
          <w:tcPr>
            <w:tcW w:type="dxa" w:w="3572"/>
          </w:tcPr>
          <w:p>
            <w:pPr>
              <w:spacing w:after="40"/>
            </w:pPr>
            <w:r>
              <w:rPr>
                <w:sz w:val="17"/>
              </w:rPr>
            </w:r>
            <w:r>
              <w:rPr>
                <w:b w:val="0"/>
                <w:sz w:val="17"/>
              </w:rPr>
              <w:t>Presentation</w:t>
            </w:r>
          </w:p>
        </w:tc>
      </w:tr>
      <w:tr>
        <w:tc>
          <w:tcPr>
            <w:tcW w:type="dxa" w:w="1134"/>
          </w:tcPr>
          <w:p>
            <w:pPr>
              <w:spacing w:after="40"/>
            </w:pPr>
            <w:r>
              <w:rPr>
                <w:sz w:val="17"/>
              </w:rPr>
            </w:r>
            <w:r>
              <w:rPr>
                <w:b w:val="0"/>
                <w:sz w:val="17"/>
              </w:rPr>
              <w:t>SC</w:t>
            </w:r>
          </w:p>
        </w:tc>
        <w:tc>
          <w:tcPr>
            <w:tcW w:type="dxa" w:w="3572"/>
          </w:tcPr>
          <w:p>
            <w:pPr>
              <w:spacing w:after="40"/>
            </w:pPr>
            <w:r>
              <w:rPr>
                <w:sz w:val="17"/>
              </w:rPr>
            </w:r>
            <w:r>
              <w:rPr>
                <w:b w:val="0"/>
                <w:sz w:val="17"/>
              </w:rPr>
              <w:t>Schedule</w:t>
            </w:r>
          </w:p>
        </w:tc>
        <w:tc>
          <w:tcPr>
            <w:tcW w:type="dxa" w:w="1134"/>
          </w:tcPr>
          <w:p>
            <w:pPr>
              <w:spacing w:after="40"/>
            </w:pPr>
            <w:r>
              <w:rPr>
                <w:sz w:val="17"/>
              </w:rPr>
            </w:r>
            <w:r>
              <w:rPr>
                <w:b w:val="0"/>
                <w:sz w:val="17"/>
              </w:rPr>
              <w:t>CR</w:t>
            </w:r>
          </w:p>
        </w:tc>
        <w:tc>
          <w:tcPr>
            <w:tcW w:type="dxa" w:w="3572"/>
          </w:tcPr>
          <w:p>
            <w:pPr>
              <w:spacing w:after="40"/>
            </w:pPr>
            <w:r>
              <w:rPr>
                <w:sz w:val="17"/>
              </w:rPr>
            </w:r>
            <w:r>
              <w:rPr>
                <w:b w:val="0"/>
                <w:sz w:val="17"/>
              </w:rPr>
              <w:t>Clash or coordination report</w:t>
            </w:r>
          </w:p>
        </w:tc>
      </w:tr>
      <w:tr>
        <w:tc>
          <w:tcPr>
            <w:tcW w:type="dxa" w:w="1134"/>
          </w:tcPr>
          <w:p>
            <w:pPr>
              <w:spacing w:after="40"/>
            </w:pPr>
            <w:r>
              <w:rPr>
                <w:sz w:val="17"/>
              </w:rPr>
            </w:r>
            <w:r>
              <w:rPr>
                <w:b w:val="0"/>
                <w:sz w:val="17"/>
              </w:rPr>
              <w:t>SP</w:t>
            </w:r>
          </w:p>
        </w:tc>
        <w:tc>
          <w:tcPr>
            <w:tcW w:type="dxa" w:w="3572"/>
          </w:tcPr>
          <w:p>
            <w:pPr>
              <w:spacing w:after="40"/>
            </w:pPr>
            <w:r>
              <w:rPr>
                <w:sz w:val="17"/>
              </w:rPr>
            </w:r>
            <w:r>
              <w:rPr>
                <w:b w:val="0"/>
                <w:sz w:val="17"/>
              </w:rPr>
              <w:t>Specification</w:t>
            </w:r>
          </w:p>
        </w:tc>
        <w:tc>
          <w:tcPr>
            <w:tcW w:type="dxa" w:w="1134"/>
          </w:tcPr>
          <w:p>
            <w:pPr>
              <w:spacing w:after="40"/>
            </w:pPr>
            <w:r>
              <w:rPr>
                <w:sz w:val="17"/>
              </w:rPr>
            </w:r>
            <w:r>
              <w:rPr>
                <w:b w:val="0"/>
                <w:sz w:val="17"/>
              </w:rPr>
              <w:t>TR</w:t>
            </w:r>
          </w:p>
        </w:tc>
        <w:tc>
          <w:tcPr>
            <w:tcW w:type="dxa" w:w="3572"/>
          </w:tcPr>
          <w:p>
            <w:pPr>
              <w:spacing w:after="40"/>
            </w:pPr>
            <w:r>
              <w:rPr>
                <w:sz w:val="17"/>
              </w:rPr>
            </w:r>
            <w:r>
              <w:rPr>
                <w:b w:val="0"/>
                <w:sz w:val="17"/>
              </w:rPr>
              <w:t>Transmittal or notice</w:t>
            </w:r>
          </w:p>
        </w:tc>
      </w:tr>
      <w:tr>
        <w:tc>
          <w:tcPr>
            <w:tcW w:type="dxa" w:w="1134"/>
          </w:tcPr>
          <w:p>
            <w:pPr>
              <w:spacing w:after="40"/>
            </w:pPr>
            <w:r>
              <w:rPr>
                <w:sz w:val="17"/>
              </w:rPr>
            </w:r>
            <w:r>
              <w:rPr>
                <w:b w:val="0"/>
                <w:sz w:val="17"/>
              </w:rPr>
              <w:t>RP</w:t>
            </w:r>
          </w:p>
        </w:tc>
        <w:tc>
          <w:tcPr>
            <w:tcW w:type="dxa" w:w="3572"/>
          </w:tcPr>
          <w:p>
            <w:pPr>
              <w:spacing w:after="40"/>
            </w:pPr>
            <w:r>
              <w:rPr>
                <w:sz w:val="17"/>
              </w:rPr>
            </w:r>
            <w:r>
              <w:rPr>
                <w:b w:val="0"/>
                <w:sz w:val="17"/>
              </w:rPr>
              <w:t>Report</w:t>
            </w:r>
          </w:p>
        </w:tc>
        <w:tc>
          <w:tcPr>
            <w:tcW w:type="dxa" w:w="1134"/>
          </w:tcPr>
          <w:p>
            <w:pPr>
              <w:spacing w:after="40"/>
            </w:pPr>
            <w:r>
              <w:rPr>
                <w:sz w:val="17"/>
              </w:rPr>
            </w:r>
            <w:r>
              <w:rPr>
                <w:b w:val="0"/>
                <w:sz w:val="17"/>
              </w:rPr>
              <w:t>BQ</w:t>
            </w:r>
          </w:p>
        </w:tc>
        <w:tc>
          <w:tcPr>
            <w:tcW w:type="dxa" w:w="3572"/>
          </w:tcPr>
          <w:p>
            <w:pPr>
              <w:spacing w:after="40"/>
            </w:pPr>
            <w:r>
              <w:rPr>
                <w:sz w:val="17"/>
              </w:rPr>
            </w:r>
            <w:r>
              <w:rPr>
                <w:b w:val="0"/>
                <w:sz w:val="17"/>
              </w:rPr>
              <w:t>Bill of quantities</w:t>
            </w:r>
          </w:p>
        </w:tc>
      </w:tr>
    </w:tbl>
    <w:p>
      <w:pPr>
        <w:spacing w:after="40"/>
      </w:pPr>
    </w:p>
    <w:p>
      <w:pPr>
        <w:pStyle w:val="Heading2"/>
      </w:pPr>
      <w:r>
        <w:t>2.4  Roles</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Role</w:t>
            </w:r>
          </w:p>
        </w:tc>
      </w:tr>
      <w:tr>
        <w:tc>
          <w:tcPr>
            <w:tcW w:type="dxa" w:w="1701"/>
          </w:tcPr>
          <w:p>
            <w:pPr>
              <w:spacing w:after="40"/>
            </w:pPr>
            <w:r>
              <w:rPr>
                <w:sz w:val="17"/>
              </w:rPr>
            </w:r>
            <w:r>
              <w:rPr>
                <w:b w:val="0"/>
                <w:sz w:val="17"/>
              </w:rPr>
              <w:t>A</w:t>
            </w:r>
          </w:p>
        </w:tc>
        <w:tc>
          <w:tcPr>
            <w:tcW w:type="dxa" w:w="7710"/>
          </w:tcPr>
          <w:p>
            <w:pPr>
              <w:spacing w:after="40"/>
            </w:pPr>
            <w:r>
              <w:rPr>
                <w:sz w:val="17"/>
              </w:rPr>
            </w:r>
            <w:r>
              <w:rPr>
                <w:b w:val="0"/>
                <w:sz w:val="17"/>
              </w:rPr>
              <w:t>Architecture and interiors</w:t>
            </w:r>
          </w:p>
        </w:tc>
      </w:tr>
      <w:tr>
        <w:tc>
          <w:tcPr>
            <w:tcW w:type="dxa" w:w="1701"/>
          </w:tcPr>
          <w:p>
            <w:pPr>
              <w:spacing w:after="40"/>
            </w:pPr>
            <w:r>
              <w:rPr>
                <w:sz w:val="17"/>
              </w:rPr>
            </w:r>
            <w:r>
              <w:rPr>
                <w:b w:val="0"/>
                <w:sz w:val="17"/>
              </w:rPr>
              <w:t>S</w:t>
            </w:r>
          </w:p>
        </w:tc>
        <w:tc>
          <w:tcPr>
            <w:tcW w:type="dxa" w:w="7710"/>
          </w:tcPr>
          <w:p>
            <w:pPr>
              <w:spacing w:after="40"/>
            </w:pPr>
            <w:r>
              <w:rPr>
                <w:sz w:val="17"/>
              </w:rPr>
            </w:r>
            <w:r>
              <w:rPr>
                <w:b w:val="0"/>
                <w:sz w:val="17"/>
              </w:rPr>
              <w:t>Structural</w:t>
            </w:r>
          </w:p>
        </w:tc>
      </w:tr>
      <w:tr>
        <w:tc>
          <w:tcPr>
            <w:tcW w:type="dxa" w:w="1701"/>
          </w:tcPr>
          <w:p>
            <w:pPr>
              <w:spacing w:after="40"/>
            </w:pPr>
            <w:r>
              <w:rPr>
                <w:sz w:val="17"/>
              </w:rPr>
            </w:r>
            <w:r>
              <w:rPr>
                <w:b w:val="0"/>
                <w:sz w:val="17"/>
              </w:rPr>
              <w:t>M</w:t>
            </w:r>
          </w:p>
        </w:tc>
        <w:tc>
          <w:tcPr>
            <w:tcW w:type="dxa" w:w="7710"/>
          </w:tcPr>
          <w:p>
            <w:pPr>
              <w:spacing w:after="40"/>
            </w:pPr>
            <w:r>
              <w:rPr>
                <w:sz w:val="17"/>
              </w:rPr>
            </w:r>
            <w:r>
              <w:rPr>
                <w:b w:val="0"/>
                <w:sz w:val="17"/>
              </w:rPr>
              <w:t>Mechanical</w:t>
            </w:r>
          </w:p>
        </w:tc>
      </w:tr>
      <w:tr>
        <w:tc>
          <w:tcPr>
            <w:tcW w:type="dxa" w:w="1701"/>
          </w:tcPr>
          <w:p>
            <w:pPr>
              <w:spacing w:after="40"/>
            </w:pPr>
            <w:r>
              <w:rPr>
                <w:sz w:val="17"/>
              </w:rPr>
            </w:r>
            <w:r>
              <w:rPr>
                <w:b w:val="0"/>
                <w:sz w:val="17"/>
              </w:rPr>
              <w:t>E</w:t>
            </w:r>
          </w:p>
        </w:tc>
        <w:tc>
          <w:tcPr>
            <w:tcW w:type="dxa" w:w="7710"/>
          </w:tcPr>
          <w:p>
            <w:pPr>
              <w:spacing w:after="40"/>
            </w:pPr>
            <w:r>
              <w:rPr>
                <w:sz w:val="17"/>
              </w:rPr>
            </w:r>
            <w:r>
              <w:rPr>
                <w:b w:val="0"/>
                <w:sz w:val="17"/>
              </w:rPr>
              <w:t>Electrical, including lighting</w:t>
            </w:r>
          </w:p>
        </w:tc>
      </w:tr>
      <w:tr>
        <w:tc>
          <w:tcPr>
            <w:tcW w:type="dxa" w:w="1701"/>
          </w:tcPr>
          <w:p>
            <w:pPr>
              <w:spacing w:after="40"/>
            </w:pPr>
            <w:r>
              <w:rPr>
                <w:sz w:val="17"/>
              </w:rPr>
            </w:r>
            <w:r>
              <w:rPr>
                <w:b w:val="0"/>
                <w:sz w:val="17"/>
              </w:rPr>
              <w:t>P</w:t>
            </w:r>
          </w:p>
        </w:tc>
        <w:tc>
          <w:tcPr>
            <w:tcW w:type="dxa" w:w="7710"/>
          </w:tcPr>
          <w:p>
            <w:pPr>
              <w:spacing w:after="40"/>
            </w:pPr>
            <w:r>
              <w:rPr>
                <w:sz w:val="17"/>
              </w:rPr>
            </w:r>
            <w:r>
              <w:rPr>
                <w:b w:val="0"/>
                <w:sz w:val="17"/>
              </w:rPr>
              <w:t>Public health — plumbing and drainage</w:t>
            </w:r>
          </w:p>
        </w:tc>
      </w:tr>
      <w:tr>
        <w:tc>
          <w:tcPr>
            <w:tcW w:type="dxa" w:w="1701"/>
          </w:tcPr>
          <w:p>
            <w:pPr>
              <w:spacing w:after="40"/>
            </w:pPr>
            <w:r>
              <w:rPr>
                <w:sz w:val="17"/>
              </w:rPr>
            </w:r>
            <w:r>
              <w:rPr>
                <w:b w:val="0"/>
                <w:sz w:val="17"/>
              </w:rPr>
              <w:t>FP</w:t>
            </w:r>
          </w:p>
        </w:tc>
        <w:tc>
          <w:tcPr>
            <w:tcW w:type="dxa" w:w="7710"/>
          </w:tcPr>
          <w:p>
            <w:pPr>
              <w:spacing w:after="40"/>
            </w:pPr>
            <w:r>
              <w:rPr>
                <w:sz w:val="17"/>
              </w:rPr>
            </w:r>
            <w:r>
              <w:rPr>
                <w:b w:val="0"/>
                <w:sz w:val="17"/>
              </w:rPr>
              <w:t>Fire protection</w:t>
            </w:r>
          </w:p>
        </w:tc>
      </w:tr>
      <w:tr>
        <w:tc>
          <w:tcPr>
            <w:tcW w:type="dxa" w:w="1701"/>
          </w:tcPr>
          <w:p>
            <w:pPr>
              <w:spacing w:after="40"/>
            </w:pPr>
            <w:r>
              <w:rPr>
                <w:sz w:val="17"/>
              </w:rPr>
            </w:r>
            <w:r>
              <w:rPr>
                <w:b w:val="0"/>
                <w:sz w:val="17"/>
              </w:rPr>
              <w:t>LV</w:t>
            </w:r>
          </w:p>
        </w:tc>
        <w:tc>
          <w:tcPr>
            <w:tcW w:type="dxa" w:w="7710"/>
          </w:tcPr>
          <w:p>
            <w:pPr>
              <w:spacing w:after="40"/>
            </w:pPr>
            <w:r>
              <w:rPr>
                <w:sz w:val="17"/>
              </w:rPr>
            </w:r>
            <w:r>
              <w:rPr>
                <w:b w:val="0"/>
                <w:sz w:val="17"/>
              </w:rPr>
              <w:t>Low voltage and communications</w:t>
            </w:r>
          </w:p>
        </w:tc>
      </w:tr>
      <w:tr>
        <w:tc>
          <w:tcPr>
            <w:tcW w:type="dxa" w:w="1701"/>
          </w:tcPr>
          <w:p>
            <w:pPr>
              <w:spacing w:after="40"/>
            </w:pPr>
            <w:r>
              <w:rPr>
                <w:sz w:val="17"/>
              </w:rPr>
            </w:r>
            <w:r>
              <w:rPr>
                <w:b w:val="0"/>
                <w:sz w:val="17"/>
              </w:rPr>
              <w:t>G</w:t>
            </w:r>
          </w:p>
        </w:tc>
        <w:tc>
          <w:tcPr>
            <w:tcW w:type="dxa" w:w="7710"/>
          </w:tcPr>
          <w:p>
            <w:pPr>
              <w:spacing w:after="40"/>
            </w:pPr>
            <w:r>
              <w:rPr>
                <w:sz w:val="17"/>
              </w:rPr>
            </w:r>
            <w:r>
              <w:rPr>
                <w:b w:val="0"/>
                <w:sz w:val="17"/>
              </w:rPr>
              <w:t>Civil and site</w:t>
            </w:r>
          </w:p>
        </w:tc>
      </w:tr>
    </w:tbl>
    <w:p>
      <w:pPr>
        <w:spacing w:after="40"/>
      </w:pPr>
    </w:p>
    <w:p>
      <w:r>
        <w:rPr>
          <w:b w:val="0"/>
          <w:i w:val="0"/>
        </w:rPr>
        <w:t>Interiors is carried under A, and lighting under E. Cost information is issued under Z with the quantity surveyor as originator.</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Code</w:t>
            </w:r>
          </w:p>
        </w:tc>
        <w:tc>
          <w:tcPr>
            <w:tcW w:type="dxa" w:w="7710"/>
            <w:shd w:val="clear" w:fill="E8EDF3"/>
          </w:tcPr>
          <w:p>
            <w:r/>
            <w:r>
              <w:rPr>
                <w:b/>
                <w:color w:val="1F3654"/>
                <w:sz w:val="17"/>
              </w:rPr>
              <w:t>Role</w:t>
            </w:r>
          </w:p>
        </w:tc>
      </w:tr>
      <w:tr>
        <w:tc>
          <w:tcPr>
            <w:tcW w:type="dxa" w:w="1701"/>
          </w:tcPr>
          <w:p>
            <w:pPr>
              <w:spacing w:after="40"/>
            </w:pPr>
            <w:r>
              <w:rPr>
                <w:sz w:val="17"/>
              </w:rPr>
            </w:r>
            <w:r>
              <w:rPr>
                <w:b w:val="0"/>
                <w:sz w:val="17"/>
              </w:rPr>
              <w:t>Z</w:t>
            </w:r>
          </w:p>
        </w:tc>
        <w:tc>
          <w:tcPr>
            <w:tcW w:type="dxa" w:w="7710"/>
          </w:tcPr>
          <w:p>
            <w:pPr>
              <w:spacing w:after="40"/>
            </w:pPr>
            <w:r>
              <w:rPr>
                <w:sz w:val="17"/>
              </w:rPr>
            </w:r>
            <w:r>
              <w:rPr>
                <w:b w:val="0"/>
                <w:sz w:val="17"/>
              </w:rPr>
              <w:t>Multi-discipline, federated and management containers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ROLES AND DISCIPLINES ARE NOT THE SAME FIELD</w:t>
            </w:r>
          </w:p>
          <w:p>
            <w:r>
              <w:rPr>
                <w:b w:val="0"/>
                <w:sz w:val="19"/>
              </w:rPr>
              <w:t>The role field of a container name and the discipline code carried on an element are separate. Container roles include Z for federated and multi-discipline containers; element discipline codes are limited to the eight above and are validated on every element. A container produced by one organisation for two disciplines takes one originator code and two role codes.</w:t>
            </w:r>
          </w:p>
        </w:tc>
      </w:tr>
    </w:tbl>
    <w:p>
      <w:pPr>
        <w:spacing w:after="40"/>
      </w:pPr>
    </w:p>
    <w:p>
      <w:r>
        <w:br w:type="page"/>
      </w:r>
    </w:p>
    <w:p>
      <w:pPr>
        <w:pStyle w:val="Heading1"/>
        <w:pBdr>
          <w:bottom w:val="single" w:sz="8" w:space="4" w:color="1F3654"/>
        </w:pBdr>
      </w:pPr>
      <w:r>
        <w:t>3  Sheet numbering</w:t>
      </w:r>
    </w:p>
    <w:p>
      <w:r>
        <w:rPr>
          <w:b w:val="0"/>
          <w:i w:val="0"/>
        </w:rPr>
        <w:t>The Number field of a SHEET is banded: its first digit says what kind of drawing it is, and the remaining three are sequential within that band. Every other container type takes a plain sequence from 0001.</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7"/>
              </w:rPr>
              <w:t>Band</w:t>
            </w:r>
          </w:p>
        </w:tc>
        <w:tc>
          <w:tcPr>
            <w:tcW w:type="dxa" w:w="7937"/>
            <w:shd w:val="clear" w:fill="E8EDF3"/>
          </w:tcPr>
          <w:p>
            <w:r/>
            <w:r>
              <w:rPr>
                <w:b/>
                <w:color w:val="1F3654"/>
                <w:sz w:val="17"/>
              </w:rPr>
              <w:t>Content</w:t>
            </w:r>
          </w:p>
        </w:tc>
      </w:tr>
      <w:tr>
        <w:tc>
          <w:tcPr>
            <w:tcW w:type="dxa" w:w="1474"/>
          </w:tcPr>
          <w:p>
            <w:pPr>
              <w:spacing w:after="40"/>
            </w:pPr>
            <w:r>
              <w:rPr>
                <w:sz w:val="17"/>
              </w:rPr>
            </w:r>
            <w:r>
              <w:rPr>
                <w:b w:val="0"/>
                <w:sz w:val="17"/>
              </w:rPr>
              <w:t>0xxx</w:t>
            </w:r>
          </w:p>
        </w:tc>
        <w:tc>
          <w:tcPr>
            <w:tcW w:type="dxa" w:w="7937"/>
          </w:tcPr>
          <w:p>
            <w:pPr>
              <w:spacing w:after="40"/>
            </w:pPr>
            <w:r>
              <w:rPr>
                <w:sz w:val="17"/>
              </w:rPr>
            </w:r>
            <w:r>
              <w:rPr>
                <w:b w:val="0"/>
                <w:sz w:val="17"/>
              </w:rPr>
              <w:t>General — cover, drawing list, notes, legends, key plans</w:t>
            </w:r>
          </w:p>
        </w:tc>
      </w:tr>
      <w:tr>
        <w:tc>
          <w:tcPr>
            <w:tcW w:type="dxa" w:w="1474"/>
          </w:tcPr>
          <w:p>
            <w:pPr>
              <w:spacing w:after="40"/>
            </w:pPr>
            <w:r>
              <w:rPr>
                <w:sz w:val="17"/>
              </w:rPr>
            </w:r>
            <w:r>
              <w:rPr>
                <w:b w:val="0"/>
                <w:sz w:val="17"/>
              </w:rPr>
              <w:t>1xxx</w:t>
            </w:r>
          </w:p>
        </w:tc>
        <w:tc>
          <w:tcPr>
            <w:tcW w:type="dxa" w:w="7937"/>
          </w:tcPr>
          <w:p>
            <w:pPr>
              <w:spacing w:after="40"/>
            </w:pPr>
            <w:r>
              <w:rPr>
                <w:sz w:val="17"/>
              </w:rPr>
            </w:r>
            <w:r>
              <w:rPr>
                <w:b w:val="0"/>
                <w:sz w:val="17"/>
              </w:rPr>
              <w:t>Plans — general arrangement, reflected ceiling, roof, setting out</w:t>
            </w:r>
          </w:p>
        </w:tc>
      </w:tr>
      <w:tr>
        <w:tc>
          <w:tcPr>
            <w:tcW w:type="dxa" w:w="1474"/>
          </w:tcPr>
          <w:p>
            <w:pPr>
              <w:spacing w:after="40"/>
            </w:pPr>
            <w:r>
              <w:rPr>
                <w:sz w:val="17"/>
              </w:rPr>
            </w:r>
            <w:r>
              <w:rPr>
                <w:b w:val="0"/>
                <w:sz w:val="17"/>
              </w:rPr>
              <w:t>2xxx</w:t>
            </w:r>
          </w:p>
        </w:tc>
        <w:tc>
          <w:tcPr>
            <w:tcW w:type="dxa" w:w="7937"/>
          </w:tcPr>
          <w:p>
            <w:pPr>
              <w:spacing w:after="40"/>
            </w:pPr>
            <w:r>
              <w:rPr>
                <w:sz w:val="17"/>
              </w:rPr>
            </w:r>
            <w:r>
              <w:rPr>
                <w:b w:val="0"/>
                <w:sz w:val="17"/>
              </w:rPr>
              <w:t>Elevations</w:t>
            </w:r>
          </w:p>
        </w:tc>
      </w:tr>
      <w:tr>
        <w:tc>
          <w:tcPr>
            <w:tcW w:type="dxa" w:w="1474"/>
          </w:tcPr>
          <w:p>
            <w:pPr>
              <w:spacing w:after="40"/>
            </w:pPr>
            <w:r>
              <w:rPr>
                <w:sz w:val="17"/>
              </w:rPr>
            </w:r>
            <w:r>
              <w:rPr>
                <w:b w:val="0"/>
                <w:sz w:val="17"/>
              </w:rPr>
              <w:t>3xxx</w:t>
            </w:r>
          </w:p>
        </w:tc>
        <w:tc>
          <w:tcPr>
            <w:tcW w:type="dxa" w:w="7937"/>
          </w:tcPr>
          <w:p>
            <w:pPr>
              <w:spacing w:after="40"/>
            </w:pPr>
            <w:r>
              <w:rPr>
                <w:sz w:val="17"/>
              </w:rPr>
            </w:r>
            <w:r>
              <w:rPr>
                <w:b w:val="0"/>
                <w:sz w:val="17"/>
              </w:rPr>
              <w:t>Sections</w:t>
            </w:r>
          </w:p>
        </w:tc>
      </w:tr>
      <w:tr>
        <w:tc>
          <w:tcPr>
            <w:tcW w:type="dxa" w:w="1474"/>
          </w:tcPr>
          <w:p>
            <w:pPr>
              <w:spacing w:after="40"/>
            </w:pPr>
            <w:r>
              <w:rPr>
                <w:sz w:val="17"/>
              </w:rPr>
            </w:r>
            <w:r>
              <w:rPr>
                <w:b w:val="0"/>
                <w:sz w:val="17"/>
              </w:rPr>
              <w:t>4xxx</w:t>
            </w:r>
          </w:p>
        </w:tc>
        <w:tc>
          <w:tcPr>
            <w:tcW w:type="dxa" w:w="7937"/>
          </w:tcPr>
          <w:p>
            <w:pPr>
              <w:spacing w:after="40"/>
            </w:pPr>
            <w:r>
              <w:rPr>
                <w:sz w:val="17"/>
              </w:rPr>
            </w:r>
            <w:r>
              <w:rPr>
                <w:b w:val="0"/>
                <w:sz w:val="17"/>
              </w:rPr>
              <w:t>Large-scale plans and enlarged areas</w:t>
            </w:r>
          </w:p>
        </w:tc>
      </w:tr>
      <w:tr>
        <w:tc>
          <w:tcPr>
            <w:tcW w:type="dxa" w:w="1474"/>
          </w:tcPr>
          <w:p>
            <w:pPr>
              <w:spacing w:after="40"/>
            </w:pPr>
            <w:r>
              <w:rPr>
                <w:sz w:val="17"/>
              </w:rPr>
            </w:r>
            <w:r>
              <w:rPr>
                <w:b w:val="0"/>
                <w:sz w:val="17"/>
              </w:rPr>
              <w:t>5xxx</w:t>
            </w:r>
          </w:p>
        </w:tc>
        <w:tc>
          <w:tcPr>
            <w:tcW w:type="dxa" w:w="7937"/>
          </w:tcPr>
          <w:p>
            <w:pPr>
              <w:spacing w:after="40"/>
            </w:pPr>
            <w:r>
              <w:rPr>
                <w:sz w:val="17"/>
              </w:rPr>
            </w:r>
            <w:r>
              <w:rPr>
                <w:b w:val="0"/>
                <w:sz w:val="17"/>
              </w:rPr>
              <w:t>Details</w:t>
            </w:r>
          </w:p>
        </w:tc>
      </w:tr>
      <w:tr>
        <w:tc>
          <w:tcPr>
            <w:tcW w:type="dxa" w:w="1474"/>
          </w:tcPr>
          <w:p>
            <w:pPr>
              <w:spacing w:after="40"/>
            </w:pPr>
            <w:r>
              <w:rPr>
                <w:sz w:val="17"/>
              </w:rPr>
            </w:r>
            <w:r>
              <w:rPr>
                <w:b w:val="0"/>
                <w:sz w:val="17"/>
              </w:rPr>
              <w:t>6xxx</w:t>
            </w:r>
          </w:p>
        </w:tc>
        <w:tc>
          <w:tcPr>
            <w:tcW w:type="dxa" w:w="7937"/>
          </w:tcPr>
          <w:p>
            <w:pPr>
              <w:spacing w:after="40"/>
            </w:pPr>
            <w:r>
              <w:rPr>
                <w:sz w:val="17"/>
              </w:rPr>
            </w:r>
            <w:r>
              <w:rPr>
                <w:b w:val="0"/>
                <w:sz w:val="17"/>
              </w:rPr>
              <w:t>Schedules</w:t>
            </w:r>
          </w:p>
        </w:tc>
      </w:tr>
      <w:tr>
        <w:tc>
          <w:tcPr>
            <w:tcW w:type="dxa" w:w="1474"/>
          </w:tcPr>
          <w:p>
            <w:pPr>
              <w:spacing w:after="40"/>
            </w:pPr>
            <w:r>
              <w:rPr>
                <w:sz w:val="17"/>
              </w:rPr>
            </w:r>
            <w:r>
              <w:rPr>
                <w:b w:val="0"/>
                <w:sz w:val="17"/>
              </w:rPr>
              <w:t>7xxx</w:t>
            </w:r>
          </w:p>
        </w:tc>
        <w:tc>
          <w:tcPr>
            <w:tcW w:type="dxa" w:w="7937"/>
          </w:tcPr>
          <w:p>
            <w:pPr>
              <w:spacing w:after="40"/>
            </w:pPr>
            <w:r>
              <w:rPr>
                <w:sz w:val="17"/>
              </w:rPr>
            </w:r>
            <w:r>
              <w:rPr>
                <w:b w:val="0"/>
                <w:sz w:val="17"/>
              </w:rPr>
              <w:t>Diagrams and schematics — single line, riser, system</w:t>
            </w:r>
          </w:p>
        </w:tc>
      </w:tr>
      <w:tr>
        <w:tc>
          <w:tcPr>
            <w:tcW w:type="dxa" w:w="1474"/>
          </w:tcPr>
          <w:p>
            <w:pPr>
              <w:spacing w:after="40"/>
            </w:pPr>
            <w:r>
              <w:rPr>
                <w:sz w:val="17"/>
              </w:rPr>
            </w:r>
            <w:r>
              <w:rPr>
                <w:b w:val="0"/>
                <w:sz w:val="17"/>
              </w:rPr>
              <w:t>8xxx</w:t>
            </w:r>
          </w:p>
        </w:tc>
        <w:tc>
          <w:tcPr>
            <w:tcW w:type="dxa" w:w="7937"/>
          </w:tcPr>
          <w:p>
            <w:pPr>
              <w:spacing w:after="40"/>
            </w:pPr>
            <w:r>
              <w:rPr>
                <w:sz w:val="17"/>
              </w:rPr>
            </w:r>
            <w:r>
              <w:rPr>
                <w:b w:val="0"/>
                <w:sz w:val="17"/>
              </w:rPr>
              <w:t>Three-dimensional views and presentation</w:t>
            </w:r>
          </w:p>
        </w:tc>
      </w:tr>
      <w:tr>
        <w:tc>
          <w:tcPr>
            <w:tcW w:type="dxa" w:w="1474"/>
          </w:tcPr>
          <w:p>
            <w:pPr>
              <w:spacing w:after="40"/>
            </w:pPr>
            <w:r>
              <w:rPr>
                <w:sz w:val="17"/>
              </w:rPr>
            </w:r>
            <w:r>
              <w:rPr>
                <w:b w:val="0"/>
                <w:sz w:val="17"/>
              </w:rPr>
              <w:t>9xxx</w:t>
            </w:r>
          </w:p>
        </w:tc>
        <w:tc>
          <w:tcPr>
            <w:tcW w:type="dxa" w:w="7937"/>
          </w:tcPr>
          <w:p>
            <w:pPr>
              <w:spacing w:after="40"/>
            </w:pPr>
            <w:r>
              <w:rPr>
                <w:sz w:val="17"/>
              </w:rPr>
            </w:r>
            <w:r>
              <w:rPr>
                <w:b w:val="0"/>
                <w:sz w:val="17"/>
              </w:rPr>
              <w:t>Reserved</w:t>
            </w:r>
          </w:p>
        </w:tc>
      </w:tr>
    </w:tbl>
    <w:p>
      <w:pPr>
        <w:spacing w:after="40"/>
      </w:pPr>
    </w:p>
    <w:p>
      <w:r>
        <w:rPr>
          <w:b w:val="0"/>
          <w:i w:val="0"/>
        </w:rPr>
        <w:t>Banding is used because a drawing set grows in the middle. A section added after issue takes the next free number in the 3xxx band; under a plain sequence it would either take a number far from its neighbours or force everything after it to be renumbered, and a renumbered sheet invalidates every reference to it.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DECISION REQUIRED AT KICKOFF</w:t>
            </w:r>
          </w:p>
          <w:p>
            <w:r>
              <w:rPr>
                <w:b/>
                <w:sz w:val="19"/>
              </w:rPr>
              <w:t>This scheme is proposed, not confirmed.</w:t>
            </w:r>
            <w:r>
              <w:rPr>
                <w:b w:val="0"/>
                <w:sz w:val="19"/>
              </w:rPr>
              <w:t xml:space="preserve"> Three numbering schemes were in use across the earlier documents. This one is carried forward for decision at the mobilisation kickoff (BIM Execution Plan, Section 15.2). Until it is confirmed, no sheet numbers are to be allocated — a sheet renumbered after issue invalidates every drawing reference, every transmittal and every register row that names it.</w:t>
            </w:r>
          </w:p>
        </w:tc>
      </w:tr>
    </w:tbl>
    <w:p>
      <w:pPr>
        <w:spacing w:after="40"/>
      </w:pPr>
    </w:p>
    <w:p>
      <w:r>
        <w:br w:type="page"/>
      </w:r>
    </w:p>
    <w:p>
      <w:pPr>
        <w:pStyle w:val="Heading1"/>
        <w:pBdr>
          <w:bottom w:val="single" w:sz="8" w:space="4" w:color="1F3654"/>
        </w:pBdr>
      </w:pPr>
      <w:r>
        <w:t>4  Revision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041"/>
            <w:shd w:val="clear" w:fill="E8EDF3"/>
          </w:tcPr>
          <w:p>
            <w:r/>
            <w:r>
              <w:rPr>
                <w:b/>
                <w:color w:val="1F3654"/>
                <w:sz w:val="17"/>
              </w:rPr>
              <w:t>Series</w:t>
            </w:r>
          </w:p>
        </w:tc>
        <w:tc>
          <w:tcPr>
            <w:tcW w:type="dxa" w:w="2268"/>
            <w:shd w:val="clear" w:fill="E8EDF3"/>
          </w:tcPr>
          <w:p>
            <w:r/>
            <w:r>
              <w:rPr>
                <w:b/>
                <w:color w:val="1F3654"/>
                <w:sz w:val="17"/>
              </w:rPr>
              <w:t>Meaning</w:t>
            </w:r>
          </w:p>
        </w:tc>
        <w:tc>
          <w:tcPr>
            <w:tcW w:type="dxa" w:w="5102"/>
            <w:shd w:val="clear" w:fill="E8EDF3"/>
          </w:tcPr>
          <w:p>
            <w:r/>
            <w:r>
              <w:rPr>
                <w:b/>
                <w:color w:val="1F3654"/>
                <w:sz w:val="17"/>
              </w:rPr>
              <w:t>When</w:t>
            </w:r>
          </w:p>
        </w:tc>
      </w:tr>
      <w:tr>
        <w:tc>
          <w:tcPr>
            <w:tcW w:type="dxa" w:w="2041"/>
          </w:tcPr>
          <w:p>
            <w:pPr>
              <w:spacing w:after="40"/>
            </w:pPr>
            <w:r>
              <w:rPr>
                <w:sz w:val="17"/>
              </w:rPr>
            </w:r>
            <w:r>
              <w:rPr>
                <w:b w:val="0"/>
                <w:sz w:val="17"/>
              </w:rPr>
              <w:t>P01, P02, P03 …</w:t>
            </w:r>
          </w:p>
        </w:tc>
        <w:tc>
          <w:tcPr>
            <w:tcW w:type="dxa" w:w="2268"/>
          </w:tcPr>
          <w:p>
            <w:pPr>
              <w:spacing w:after="40"/>
            </w:pPr>
            <w:r>
              <w:rPr>
                <w:sz w:val="17"/>
              </w:rPr>
            </w:r>
            <w:r>
              <w:rPr>
                <w:b w:val="0"/>
                <w:sz w:val="17"/>
              </w:rPr>
              <w:t>Preliminary</w:t>
            </w:r>
          </w:p>
        </w:tc>
        <w:tc>
          <w:tcPr>
            <w:tcW w:type="dxa" w:w="5102"/>
          </w:tcPr>
          <w:p>
            <w:pPr>
              <w:spacing w:after="40"/>
            </w:pPr>
            <w:r>
              <w:rPr>
                <w:sz w:val="17"/>
              </w:rPr>
            </w:r>
            <w:r>
              <w:rPr>
                <w:b w:val="0"/>
                <w:sz w:val="17"/>
              </w:rPr>
              <w:t>Every revision before the information becomes contractual</w:t>
            </w:r>
          </w:p>
        </w:tc>
      </w:tr>
      <w:tr>
        <w:tc>
          <w:tcPr>
            <w:tcW w:type="dxa" w:w="2041"/>
          </w:tcPr>
          <w:p>
            <w:pPr>
              <w:spacing w:after="40"/>
            </w:pPr>
            <w:r>
              <w:rPr>
                <w:sz w:val="17"/>
              </w:rPr>
            </w:r>
            <w:r>
              <w:rPr>
                <w:b w:val="0"/>
                <w:sz w:val="17"/>
              </w:rPr>
              <w:t>C01, C02, C03 …</w:t>
            </w:r>
          </w:p>
        </w:tc>
        <w:tc>
          <w:tcPr>
            <w:tcW w:type="dxa" w:w="2268"/>
          </w:tcPr>
          <w:p>
            <w:pPr>
              <w:spacing w:after="40"/>
            </w:pPr>
            <w:r>
              <w:rPr>
                <w:sz w:val="17"/>
              </w:rPr>
            </w:r>
            <w:r>
              <w:rPr>
                <w:b w:val="0"/>
                <w:sz w:val="17"/>
              </w:rPr>
              <w:t>Contractual</w:t>
            </w:r>
          </w:p>
        </w:tc>
        <w:tc>
          <w:tcPr>
            <w:tcW w:type="dxa" w:w="5102"/>
          </w:tcPr>
          <w:p>
            <w:pPr>
              <w:spacing w:after="40"/>
            </w:pPr>
            <w:r>
              <w:rPr>
                <w:sz w:val="17"/>
              </w:rPr>
            </w:r>
            <w:r>
              <w:rPr>
                <w:b w:val="0"/>
                <w:sz w:val="17"/>
              </w:rPr>
              <w:t>From the first issue at A1 onward</w:t>
            </w:r>
          </w:p>
        </w:tc>
      </w:tr>
    </w:tbl>
    <w:p>
      <w:pPr>
        <w:spacing w:after="40"/>
      </w:pP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Rule</w:t>
            </w:r>
          </w:p>
        </w:tc>
        <w:tc>
          <w:tcPr>
            <w:tcW w:type="dxa" w:w="7370"/>
            <w:shd w:val="clear" w:fill="E8EDF3"/>
          </w:tcPr>
          <w:p>
            <w:r/>
            <w:r>
              <w:rPr>
                <w:b/>
                <w:color w:val="1F3654"/>
                <w:sz w:val="17"/>
              </w:rPr>
              <w:t>Requirement</w:t>
            </w:r>
          </w:p>
        </w:tc>
      </w:tr>
      <w:tr>
        <w:tc>
          <w:tcPr>
            <w:tcW w:type="dxa" w:w="2041"/>
          </w:tcPr>
          <w:p>
            <w:pPr>
              <w:spacing w:after="40"/>
            </w:pPr>
            <w:r>
              <w:rPr>
                <w:sz w:val="17"/>
              </w:rPr>
            </w:r>
            <w:r>
              <w:rPr>
                <w:b w:val="0"/>
                <w:sz w:val="17"/>
              </w:rPr>
              <w:t>Increment</w:t>
            </w:r>
          </w:p>
        </w:tc>
        <w:tc>
          <w:tcPr>
            <w:tcW w:type="dxa" w:w="7370"/>
          </w:tcPr>
          <w:p>
            <w:pPr>
              <w:spacing w:after="40"/>
            </w:pPr>
            <w:r>
              <w:rPr>
                <w:sz w:val="17"/>
              </w:rPr>
            </w:r>
            <w:r>
              <w:rPr>
                <w:b w:val="0"/>
                <w:sz w:val="17"/>
              </w:rPr>
              <w:t>Every issue increments the revision. A container is never reissued at the same revision with different content</w:t>
            </w:r>
          </w:p>
        </w:tc>
      </w:tr>
      <w:tr>
        <w:tc>
          <w:tcPr>
            <w:tcW w:type="dxa" w:w="2041"/>
          </w:tcPr>
          <w:p>
            <w:pPr>
              <w:spacing w:after="40"/>
            </w:pPr>
            <w:r>
              <w:rPr>
                <w:sz w:val="17"/>
              </w:rPr>
            </w:r>
            <w:r>
              <w:rPr>
                <w:b w:val="0"/>
                <w:sz w:val="17"/>
              </w:rPr>
              <w:t>Reset</w:t>
            </w:r>
          </w:p>
        </w:tc>
        <w:tc>
          <w:tcPr>
            <w:tcW w:type="dxa" w:w="7370"/>
          </w:tcPr>
          <w:p>
            <w:pPr>
              <w:spacing w:after="40"/>
            </w:pPr>
            <w:r>
              <w:rPr>
                <w:sz w:val="17"/>
              </w:rPr>
            </w:r>
            <w:r>
              <w:rPr>
                <w:b w:val="0"/>
                <w:sz w:val="17"/>
              </w:rPr>
              <w:t>The revision does not reset when the series changes. The first contractual revision following P04 is C01, and P04 remains in the register</w:t>
            </w:r>
          </w:p>
        </w:tc>
      </w:tr>
      <w:tr>
        <w:tc>
          <w:tcPr>
            <w:tcW w:type="dxa" w:w="2041"/>
          </w:tcPr>
          <w:p>
            <w:pPr>
              <w:spacing w:after="40"/>
            </w:pPr>
            <w:r>
              <w:rPr>
                <w:sz w:val="17"/>
              </w:rPr>
            </w:r>
            <w:r>
              <w:rPr>
                <w:b w:val="0"/>
                <w:sz w:val="17"/>
              </w:rPr>
              <w:t>Content</w:t>
            </w:r>
          </w:p>
        </w:tc>
        <w:tc>
          <w:tcPr>
            <w:tcW w:type="dxa" w:w="7370"/>
          </w:tcPr>
          <w:p>
            <w:pPr>
              <w:spacing w:after="40"/>
            </w:pPr>
            <w:r>
              <w:rPr>
                <w:sz w:val="17"/>
              </w:rPr>
            </w:r>
            <w:r>
              <w:rPr>
                <w:b w:val="0"/>
                <w:sz w:val="17"/>
              </w:rPr>
              <w:t>A revision records what changed and why, in the revision panel and in the register</w:t>
            </w:r>
          </w:p>
        </w:tc>
      </w:tr>
      <w:tr>
        <w:tc>
          <w:tcPr>
            <w:tcW w:type="dxa" w:w="2041"/>
          </w:tcPr>
          <w:p>
            <w:pPr>
              <w:spacing w:after="40"/>
            </w:pPr>
            <w:r>
              <w:rPr>
                <w:sz w:val="17"/>
              </w:rPr>
            </w:r>
            <w:r>
              <w:rPr>
                <w:b w:val="0"/>
                <w:sz w:val="17"/>
              </w:rPr>
              <w:t>Model revisions</w:t>
            </w:r>
          </w:p>
        </w:tc>
        <w:tc>
          <w:tcPr>
            <w:tcW w:type="dxa" w:w="7370"/>
          </w:tcPr>
          <w:p>
            <w:pPr>
              <w:spacing w:after="40"/>
            </w:pPr>
            <w:r>
              <w:rPr>
                <w:sz w:val="17"/>
              </w:rPr>
            </w:r>
            <w:r>
              <w:rPr>
                <w:b w:val="0"/>
                <w:sz w:val="17"/>
              </w:rPr>
              <w:t>A model carries the revision of the data drop it was published in</w:t>
            </w:r>
          </w:p>
        </w:tc>
      </w:tr>
      <w:tr>
        <w:tc>
          <w:tcPr>
            <w:tcW w:type="dxa" w:w="2041"/>
          </w:tcPr>
          <w:p>
            <w:pPr>
              <w:spacing w:after="40"/>
            </w:pPr>
            <w:r>
              <w:rPr>
                <w:sz w:val="17"/>
              </w:rPr>
            </w:r>
            <w:r>
              <w:rPr>
                <w:b w:val="0"/>
                <w:sz w:val="17"/>
              </w:rPr>
              <w:t>Withdrawn</w:t>
            </w:r>
          </w:p>
        </w:tc>
        <w:tc>
          <w:tcPr>
            <w:tcW w:type="dxa" w:w="7370"/>
          </w:tcPr>
          <w:p>
            <w:pPr>
              <w:spacing w:after="40"/>
            </w:pPr>
            <w:r>
              <w:rPr>
                <w:sz w:val="17"/>
              </w:rPr>
            </w:r>
            <w:r>
              <w:rPr>
                <w:b w:val="0"/>
                <w:sz w:val="17"/>
              </w:rPr>
              <w:t>A revision issued in error is withdrawn by a notice and the next revision issued. It is not deleted and the number is not reused</w:t>
            </w:r>
          </w:p>
        </w:tc>
      </w:tr>
    </w:tbl>
    <w:p>
      <w:pPr>
        <w:spacing w:after="40"/>
      </w:pPr>
    </w:p>
    <w:p>
      <w:r>
        <w:br w:type="page"/>
      </w:r>
    </w:p>
    <w:p>
      <w:pPr>
        <w:pStyle w:val="Heading1"/>
        <w:pBdr>
          <w:bottom w:val="single" w:sz="8" w:space="4" w:color="1F3654"/>
        </w:pBdr>
      </w:pPr>
      <w:r>
        <w:t>5  Suitability and authorisation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Code</w:t>
            </w:r>
          </w:p>
        </w:tc>
        <w:tc>
          <w:tcPr>
            <w:tcW w:type="dxa" w:w="5443"/>
            <w:shd w:val="clear" w:fill="E8EDF3"/>
          </w:tcPr>
          <w:p>
            <w:r/>
            <w:r>
              <w:rPr>
                <w:b/>
                <w:color w:val="1F3654"/>
                <w:sz w:val="17"/>
              </w:rPr>
              <w:t>Meaning</w:t>
            </w:r>
          </w:p>
        </w:tc>
        <w:tc>
          <w:tcPr>
            <w:tcW w:type="dxa" w:w="2268"/>
            <w:shd w:val="clear" w:fill="E8EDF3"/>
          </w:tcPr>
          <w:p>
            <w:r/>
            <w:r>
              <w:rPr>
                <w:b/>
                <w:color w:val="1F3654"/>
                <w:sz w:val="17"/>
              </w:rPr>
              <w:t>CDE 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others</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p>
      <w:pPr>
        <w:pStyle w:val="Heading2"/>
      </w:pPr>
      <w:r>
        <w:t>5.1  Who may authorise</w:t>
      </w:r>
    </w:p>
    <w:p>
      <w:r>
        <w:rPr>
          <w:b w:val="0"/>
          <w:i w:val="0"/>
        </w:rPr>
        <w:t>Authorisation is the act of accepting information for a stated use. It is recorded in the register against the container and the revision, with the name of the person who gave it.</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Suitability</w:t>
            </w:r>
          </w:p>
        </w:tc>
        <w:tc>
          <w:tcPr>
            <w:tcW w:type="dxa" w:w="5329"/>
            <w:shd w:val="clear" w:fill="E8EDF3"/>
          </w:tcPr>
          <w:p>
            <w:r/>
            <w:r>
              <w:rPr>
                <w:b/>
                <w:color w:val="1F3654"/>
                <w:sz w:val="17"/>
              </w:rPr>
              <w:t>Authorised by</w:t>
            </w:r>
          </w:p>
        </w:tc>
        <w:tc>
          <w:tcPr>
            <w:tcW w:type="dxa" w:w="2608"/>
            <w:shd w:val="clear" w:fill="E8EDF3"/>
          </w:tcPr>
          <w:p>
            <w:r/>
            <w:r>
              <w:rPr>
                <w:b/>
                <w:color w:val="1F3654"/>
                <w:sz w:val="17"/>
              </w:rPr>
              <w:t>Recorded</w:t>
            </w:r>
          </w:p>
        </w:tc>
      </w:tr>
      <w:tr>
        <w:tc>
          <w:tcPr>
            <w:tcW w:type="dxa" w:w="1474"/>
          </w:tcPr>
          <w:p>
            <w:pPr>
              <w:spacing w:after="40"/>
            </w:pPr>
            <w:r>
              <w:rPr>
                <w:sz w:val="17"/>
              </w:rPr>
            </w:r>
            <w:r>
              <w:rPr>
                <w:b w:val="0"/>
                <w:sz w:val="17"/>
              </w:rPr>
              <w:t>S0</w:t>
            </w:r>
          </w:p>
        </w:tc>
        <w:tc>
          <w:tcPr>
            <w:tcW w:type="dxa" w:w="5329"/>
          </w:tcPr>
          <w:p>
            <w:pPr>
              <w:spacing w:after="40"/>
            </w:pPr>
            <w:r>
              <w:rPr>
                <w:sz w:val="17"/>
              </w:rPr>
            </w:r>
            <w:r>
              <w:rPr>
                <w:b w:val="0"/>
                <w:sz w:val="17"/>
              </w:rPr>
              <w:t>Nobody. Work in progress is not authorised and is not visible outside the originating task team</w:t>
            </w:r>
          </w:p>
        </w:tc>
        <w:tc>
          <w:tcPr>
            <w:tcW w:type="dxa" w:w="2608"/>
          </w:tcPr>
          <w:p>
            <w:pPr>
              <w:spacing w:after="40"/>
            </w:pPr>
            <w:r>
              <w:rPr>
                <w:sz w:val="17"/>
              </w:rPr>
            </w:r>
            <w:r>
              <w:rPr>
                <w:b w:val="0"/>
                <w:sz w:val="17"/>
              </w:rPr>
              <w:t>—</w:t>
            </w:r>
          </w:p>
        </w:tc>
      </w:tr>
      <w:tr>
        <w:tc>
          <w:tcPr>
            <w:tcW w:type="dxa" w:w="1474"/>
          </w:tcPr>
          <w:p>
            <w:pPr>
              <w:spacing w:after="40"/>
            </w:pPr>
            <w:r>
              <w:rPr>
                <w:sz w:val="17"/>
              </w:rPr>
            </w:r>
            <w:r>
              <w:rPr>
                <w:b w:val="0"/>
                <w:sz w:val="17"/>
              </w:rPr>
              <w:t>S1 to S4</w:t>
            </w:r>
          </w:p>
        </w:tc>
        <w:tc>
          <w:tcPr>
            <w:tcW w:type="dxa" w:w="5329"/>
          </w:tcPr>
          <w:p>
            <w:pPr>
              <w:spacing w:after="40"/>
            </w:pPr>
            <w:r>
              <w:rPr>
                <w:sz w:val="17"/>
              </w:rPr>
            </w:r>
            <w:r>
              <w:rPr>
                <w:b w:val="0"/>
                <w:sz w:val="17"/>
              </w:rPr>
              <w:t>The Task Team Manager of the originating party</w:t>
            </w:r>
          </w:p>
        </w:tc>
        <w:tc>
          <w:tcPr>
            <w:tcW w:type="dxa" w:w="2608"/>
          </w:tcPr>
          <w:p>
            <w:pPr>
              <w:spacing w:after="40"/>
            </w:pPr>
            <w:r>
              <w:rPr>
                <w:sz w:val="17"/>
              </w:rPr>
            </w:r>
            <w:r>
              <w:rPr>
                <w:b w:val="0"/>
                <w:sz w:val="17"/>
              </w:rPr>
              <w:t>Register and transmittal</w:t>
            </w:r>
          </w:p>
        </w:tc>
      </w:tr>
      <w:tr>
        <w:tc>
          <w:tcPr>
            <w:tcW w:type="dxa" w:w="1474"/>
          </w:tcPr>
          <w:p>
            <w:pPr>
              <w:spacing w:after="40"/>
            </w:pPr>
            <w:r>
              <w:rPr>
                <w:sz w:val="17"/>
              </w:rPr>
            </w:r>
            <w:r>
              <w:rPr>
                <w:b w:val="0"/>
                <w:sz w:val="17"/>
              </w:rPr>
              <w:t>A1 to An</w:t>
            </w:r>
          </w:p>
        </w:tc>
        <w:tc>
          <w:tcPr>
            <w:tcW w:type="dxa" w:w="5329"/>
          </w:tcPr>
          <w:p>
            <w:pPr>
              <w:spacing w:after="40"/>
            </w:pPr>
            <w:r>
              <w:rPr>
                <w:sz w:val="17"/>
              </w:rPr>
            </w:r>
            <w:r>
              <w:rPr>
                <w:b w:val="0"/>
                <w:sz w:val="17"/>
              </w:rPr>
              <w:t>The Appointing Party, or the Lead Appointed Party where the Appointing Party has delegated it in writing</w:t>
            </w:r>
          </w:p>
        </w:tc>
        <w:tc>
          <w:tcPr>
            <w:tcW w:type="dxa" w:w="2608"/>
          </w:tcPr>
          <w:p>
            <w:pPr>
              <w:spacing w:after="40"/>
            </w:pPr>
            <w:r>
              <w:rPr>
                <w:sz w:val="17"/>
              </w:rPr>
            </w:r>
            <w:r>
              <w:rPr>
                <w:b w:val="0"/>
                <w:sz w:val="17"/>
              </w:rPr>
              <w:t>Register, transmittal and the authorisation record</w:t>
            </w:r>
          </w:p>
        </w:tc>
      </w:tr>
      <w:tr>
        <w:tc>
          <w:tcPr>
            <w:tcW w:type="dxa" w:w="1474"/>
          </w:tcPr>
          <w:p>
            <w:pPr>
              <w:spacing w:after="40"/>
            </w:pPr>
            <w:r>
              <w:rPr>
                <w:sz w:val="17"/>
              </w:rPr>
            </w:r>
            <w:r>
              <w:rPr>
                <w:b w:val="0"/>
                <w:sz w:val="17"/>
              </w:rPr>
              <w:t>B1 to Bn</w:t>
            </w:r>
          </w:p>
        </w:tc>
        <w:tc>
          <w:tcPr>
            <w:tcW w:type="dxa" w:w="5329"/>
          </w:tcPr>
          <w:p>
            <w:pPr>
              <w:spacing w:after="40"/>
            </w:pPr>
            <w:r>
              <w:rPr>
                <w:sz w:val="17"/>
              </w:rPr>
            </w:r>
            <w:r>
              <w:rPr>
                <w:b w:val="0"/>
                <w:sz w:val="17"/>
              </w:rPr>
              <w:t>As A1, with the comments recorded and a date by which they are to be closed</w:t>
            </w:r>
          </w:p>
        </w:tc>
        <w:tc>
          <w:tcPr>
            <w:tcW w:type="dxa" w:w="2608"/>
          </w:tcPr>
          <w:p>
            <w:pPr>
              <w:spacing w:after="40"/>
            </w:pPr>
            <w:r>
              <w:rPr>
                <w:sz w:val="17"/>
              </w:rPr>
            </w:r>
            <w:r>
              <w:rPr>
                <w:b w:val="0"/>
                <w:sz w:val="17"/>
              </w:rPr>
              <w:t>Register, transmittal and the comment schedule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AUTHORITY</w:t>
            </w:r>
          </w:p>
          <w:p>
            <w:r>
              <w:rPr>
                <w:b/>
                <w:sz w:val="19"/>
              </w:rPr>
              <w:t>A1 is the only status that makes information contractual, and the Information Manager cannot confer it.</w:t>
            </w:r>
            <w:r>
              <w:rPr>
                <w:b w:val="0"/>
                <w:sz w:val="19"/>
              </w:rPr>
              <w:t xml:space="preserve"> The Information Manager verifies that a container is fit to be authorised — named correctly, complete, checked, and accompanied by its transmittal — and presents it. The decision belongs to the Appointing Party. A container marked A1 without a recorded authoriser is a non-conformity under Section 10.</w:t>
            </w:r>
          </w:p>
        </w:tc>
      </w:tr>
    </w:tbl>
    <w:p>
      <w:pPr>
        <w:spacing w:after="40"/>
      </w:pPr>
    </w:p>
    <w:p>
      <w:r>
        <w:br w:type="page"/>
      </w:r>
    </w:p>
    <w:p>
      <w:pPr>
        <w:pStyle w:val="Heading1"/>
        <w:pBdr>
          <w:bottom w:val="single" w:sz="8" w:space="4" w:color="1F3654"/>
        </w:pBdr>
      </w:pPr>
      <w:r>
        <w:t>6  Issue and transmittal</w:t>
      </w:r>
    </w:p>
    <w:p>
      <w:r>
        <w:rPr>
          <w:b w:val="0"/>
          <w:i w:val="0"/>
        </w:rPr>
        <w:t>Every issue of information is accompanied by a transmittal. The transmittal is itself a container, of type TR, and is numbered and registered like any other.</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The transmittal records</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What</w:t>
            </w:r>
          </w:p>
        </w:tc>
        <w:tc>
          <w:tcPr>
            <w:tcW w:type="dxa" w:w="6917"/>
          </w:tcPr>
          <w:p>
            <w:pPr>
              <w:spacing w:after="40"/>
            </w:pPr>
            <w:r>
              <w:rPr>
                <w:sz w:val="17"/>
              </w:rPr>
            </w:r>
            <w:r>
              <w:rPr>
                <w:b w:val="0"/>
                <w:sz w:val="17"/>
              </w:rPr>
              <w:t>Every container issued, by name and revision</w:t>
            </w:r>
          </w:p>
        </w:tc>
      </w:tr>
      <w:tr>
        <w:tc>
          <w:tcPr>
            <w:tcW w:type="dxa" w:w="2494"/>
          </w:tcPr>
          <w:p>
            <w:pPr>
              <w:spacing w:after="40"/>
            </w:pPr>
            <w:r>
              <w:rPr>
                <w:sz w:val="17"/>
              </w:rPr>
            </w:r>
            <w:r>
              <w:rPr>
                <w:b w:val="0"/>
                <w:sz w:val="17"/>
              </w:rPr>
              <w:t>To whom</w:t>
            </w:r>
          </w:p>
        </w:tc>
        <w:tc>
          <w:tcPr>
            <w:tcW w:type="dxa" w:w="6917"/>
          </w:tcPr>
          <w:p>
            <w:pPr>
              <w:spacing w:after="40"/>
            </w:pPr>
            <w:r>
              <w:rPr>
                <w:sz w:val="17"/>
              </w:rPr>
            </w:r>
            <w:r>
              <w:rPr>
                <w:b w:val="0"/>
                <w:sz w:val="17"/>
              </w:rPr>
              <w:t>Every recipient, by organisation and person</w:t>
            </w:r>
          </w:p>
        </w:tc>
      </w:tr>
      <w:tr>
        <w:tc>
          <w:tcPr>
            <w:tcW w:type="dxa" w:w="2494"/>
          </w:tcPr>
          <w:p>
            <w:pPr>
              <w:spacing w:after="40"/>
            </w:pPr>
            <w:r>
              <w:rPr>
                <w:sz w:val="17"/>
              </w:rPr>
            </w:r>
            <w:r>
              <w:rPr>
                <w:b w:val="0"/>
                <w:sz w:val="17"/>
              </w:rPr>
              <w:t>For what</w:t>
            </w:r>
          </w:p>
        </w:tc>
        <w:tc>
          <w:tcPr>
            <w:tcW w:type="dxa" w:w="6917"/>
          </w:tcPr>
          <w:p>
            <w:pPr>
              <w:spacing w:after="40"/>
            </w:pPr>
            <w:r>
              <w:rPr>
                <w:sz w:val="17"/>
              </w:rPr>
            </w:r>
            <w:r>
              <w:rPr>
                <w:b w:val="0"/>
                <w:sz w:val="17"/>
              </w:rPr>
              <w:t>The suitability of each container and the purpose of the issue</w:t>
            </w:r>
          </w:p>
        </w:tc>
      </w:tr>
      <w:tr>
        <w:tc>
          <w:tcPr>
            <w:tcW w:type="dxa" w:w="2494"/>
          </w:tcPr>
          <w:p>
            <w:pPr>
              <w:spacing w:after="40"/>
            </w:pPr>
            <w:r>
              <w:rPr>
                <w:sz w:val="17"/>
              </w:rPr>
            </w:r>
            <w:r>
              <w:rPr>
                <w:b w:val="0"/>
                <w:sz w:val="17"/>
              </w:rPr>
              <w:t>When</w:t>
            </w:r>
          </w:p>
        </w:tc>
        <w:tc>
          <w:tcPr>
            <w:tcW w:type="dxa" w:w="6917"/>
          </w:tcPr>
          <w:p>
            <w:pPr>
              <w:spacing w:after="40"/>
            </w:pPr>
            <w:r>
              <w:rPr>
                <w:sz w:val="17"/>
              </w:rPr>
            </w:r>
            <w:r>
              <w:rPr>
                <w:b w:val="0"/>
                <w:sz w:val="17"/>
              </w:rPr>
              <w:t>The date of issue, and the date any response is required</w:t>
            </w:r>
          </w:p>
        </w:tc>
      </w:tr>
      <w:tr>
        <w:tc>
          <w:tcPr>
            <w:tcW w:type="dxa" w:w="2494"/>
          </w:tcPr>
          <w:p>
            <w:pPr>
              <w:spacing w:after="40"/>
            </w:pPr>
            <w:r>
              <w:rPr>
                <w:sz w:val="17"/>
              </w:rPr>
            </w:r>
            <w:r>
              <w:rPr>
                <w:b w:val="0"/>
                <w:sz w:val="17"/>
              </w:rPr>
              <w:t>By whom</w:t>
            </w:r>
          </w:p>
        </w:tc>
        <w:tc>
          <w:tcPr>
            <w:tcW w:type="dxa" w:w="6917"/>
          </w:tcPr>
          <w:p>
            <w:pPr>
              <w:spacing w:after="40"/>
            </w:pPr>
            <w:r>
              <w:rPr>
                <w:sz w:val="17"/>
              </w:rPr>
            </w:r>
            <w:r>
              <w:rPr>
                <w:b w:val="0"/>
                <w:sz w:val="17"/>
              </w:rPr>
              <w:t>The person issuing, and the person who authorised the issue</w:t>
            </w:r>
          </w:p>
        </w:tc>
      </w:tr>
      <w:tr>
        <w:tc>
          <w:tcPr>
            <w:tcW w:type="dxa" w:w="2494"/>
          </w:tcPr>
          <w:p>
            <w:pPr>
              <w:spacing w:after="40"/>
            </w:pPr>
            <w:r>
              <w:rPr>
                <w:sz w:val="17"/>
              </w:rPr>
            </w:r>
            <w:r>
              <w:rPr>
                <w:b w:val="0"/>
                <w:sz w:val="17"/>
              </w:rPr>
              <w:t>Where</w:t>
            </w:r>
          </w:p>
        </w:tc>
        <w:tc>
          <w:tcPr>
            <w:tcW w:type="dxa" w:w="6917"/>
          </w:tcPr>
          <w:p>
            <w:pPr>
              <w:spacing w:after="40"/>
            </w:pPr>
            <w:r>
              <w:rPr>
                <w:sz w:val="17"/>
              </w:rPr>
            </w:r>
            <w:r>
              <w:rPr>
                <w:b w:val="0"/>
                <w:sz w:val="17"/>
              </w:rPr>
              <w:t>The Common Data Environment location the information was published to</w:t>
            </w:r>
          </w:p>
        </w:tc>
      </w:tr>
    </w:tbl>
    <w:p>
      <w:pPr>
        <w:spacing w:after="40"/>
      </w:pPr>
    </w:p>
    <w:p>
      <w:r>
        <w:rPr>
          <w:b w:val="0"/>
          <w:i w:val="0"/>
        </w:rPr>
        <w:t>A recipient who receives information without a transmittal has not been issued it. The correct response is to ask for the transmittal, not to use the information.</w:t>
      </w:r>
    </w:p>
    <w:p>
      <w:r>
        <w:br w:type="page"/>
      </w:r>
    </w:p>
    <w:p>
      <w:pPr>
        <w:pStyle w:val="Heading1"/>
        <w:pBdr>
          <w:bottom w:val="single" w:sz="8" w:space="4" w:color="1F3654"/>
        </w:pBdr>
      </w:pPr>
      <w:r>
        <w:t>7  Superseding, cancelling and replacing</w:t>
      </w:r>
    </w:p>
    <w:p>
      <w:r>
        <w:rPr>
          <w:b w:val="0"/>
          <w:i w:val="0"/>
        </w:rPr>
        <w:t>Three things can happen to a container after it has been issued, and they are not the same. Each is recorded by its own notice, issued as a container of type TR.</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474"/>
            <w:shd w:val="clear" w:fill="E8EDF3"/>
          </w:tcPr>
          <w:p>
            <w:r/>
            <w:r>
              <w:rPr>
                <w:b/>
                <w:color w:val="1F3654"/>
                <w:sz w:val="16"/>
              </w:rPr>
              <w:t>Event</w:t>
            </w:r>
          </w:p>
        </w:tc>
        <w:tc>
          <w:tcPr>
            <w:tcW w:type="dxa" w:w="3061"/>
            <w:shd w:val="clear" w:fill="E8EDF3"/>
          </w:tcPr>
          <w:p>
            <w:r/>
            <w:r>
              <w:rPr>
                <w:b/>
                <w:color w:val="1F3654"/>
                <w:sz w:val="16"/>
              </w:rPr>
              <w:t>What it means</w:t>
            </w:r>
          </w:p>
        </w:tc>
        <w:tc>
          <w:tcPr>
            <w:tcW w:type="dxa" w:w="2494"/>
            <w:shd w:val="clear" w:fill="E8EDF3"/>
          </w:tcPr>
          <w:p>
            <w:r/>
            <w:r>
              <w:rPr>
                <w:b/>
                <w:color w:val="1F3654"/>
                <w:sz w:val="16"/>
              </w:rPr>
              <w:t>What happens to the number</w:t>
            </w:r>
          </w:p>
        </w:tc>
        <w:tc>
          <w:tcPr>
            <w:tcW w:type="dxa" w:w="2381"/>
            <w:shd w:val="clear" w:fill="E8EDF3"/>
          </w:tcPr>
          <w:p>
            <w:r/>
            <w:r>
              <w:rPr>
                <w:b/>
                <w:color w:val="1F3654"/>
                <w:sz w:val="16"/>
              </w:rPr>
              <w:t>Notice</w:t>
            </w:r>
          </w:p>
        </w:tc>
      </w:tr>
      <w:tr>
        <w:tc>
          <w:tcPr>
            <w:tcW w:type="dxa" w:w="1474"/>
          </w:tcPr>
          <w:p>
            <w:pPr>
              <w:spacing w:after="40"/>
            </w:pPr>
            <w:r>
              <w:rPr>
                <w:sz w:val="16"/>
              </w:rPr>
            </w:r>
            <w:r>
              <w:rPr>
                <w:b w:val="0"/>
                <w:sz w:val="16"/>
              </w:rPr>
              <w:t>Superseded</w:t>
            </w:r>
          </w:p>
        </w:tc>
        <w:tc>
          <w:tcPr>
            <w:tcW w:type="dxa" w:w="3061"/>
          </w:tcPr>
          <w:p>
            <w:pPr>
              <w:spacing w:after="40"/>
            </w:pPr>
            <w:r>
              <w:rPr>
                <w:sz w:val="16"/>
              </w:rPr>
            </w:r>
            <w:r>
              <w:rPr>
                <w:b w:val="0"/>
                <w:sz w:val="16"/>
              </w:rPr>
              <w:t>A later revision of the same container has been issued. This is the normal case and happens at every reissue</w:t>
            </w:r>
          </w:p>
        </w:tc>
        <w:tc>
          <w:tcPr>
            <w:tcW w:type="dxa" w:w="2494"/>
          </w:tcPr>
          <w:p>
            <w:pPr>
              <w:spacing w:after="40"/>
            </w:pPr>
            <w:r>
              <w:rPr>
                <w:sz w:val="16"/>
              </w:rPr>
            </w:r>
            <w:r>
              <w:rPr>
                <w:b w:val="0"/>
                <w:sz w:val="16"/>
              </w:rPr>
              <w:t>Kept. The container continues at the next revision</w:t>
            </w:r>
          </w:p>
        </w:tc>
        <w:tc>
          <w:tcPr>
            <w:tcW w:type="dxa" w:w="2381"/>
          </w:tcPr>
          <w:p>
            <w:pPr>
              <w:spacing w:after="40"/>
            </w:pPr>
            <w:r>
              <w:rPr>
                <w:sz w:val="16"/>
              </w:rPr>
            </w:r>
            <w:r>
              <w:rPr>
                <w:b w:val="0"/>
                <w:sz w:val="16"/>
              </w:rPr>
              <w:t>None. The register records the superseded revision as archived</w:t>
            </w:r>
          </w:p>
        </w:tc>
      </w:tr>
      <w:tr>
        <w:tc>
          <w:tcPr>
            <w:tcW w:type="dxa" w:w="1474"/>
          </w:tcPr>
          <w:p>
            <w:pPr>
              <w:spacing w:after="40"/>
            </w:pPr>
            <w:r>
              <w:rPr>
                <w:sz w:val="16"/>
              </w:rPr>
            </w:r>
            <w:r>
              <w:rPr>
                <w:b w:val="0"/>
                <w:sz w:val="16"/>
              </w:rPr>
              <w:t>Cancelled</w:t>
            </w:r>
          </w:p>
        </w:tc>
        <w:tc>
          <w:tcPr>
            <w:tcW w:type="dxa" w:w="3061"/>
          </w:tcPr>
          <w:p>
            <w:pPr>
              <w:spacing w:after="40"/>
            </w:pPr>
            <w:r>
              <w:rPr>
                <w:sz w:val="16"/>
              </w:rPr>
            </w:r>
            <w:r>
              <w:rPr>
                <w:b w:val="0"/>
                <w:sz w:val="16"/>
              </w:rPr>
              <w:t>The container is no longer required and no later revision will be issued. The scope it covered has gone</w:t>
            </w:r>
          </w:p>
        </w:tc>
        <w:tc>
          <w:tcPr>
            <w:tcW w:type="dxa" w:w="2494"/>
          </w:tcPr>
          <w:p>
            <w:pPr>
              <w:spacing w:after="40"/>
            </w:pPr>
            <w:r>
              <w:rPr>
                <w:sz w:val="16"/>
              </w:rPr>
            </w:r>
            <w:r>
              <w:rPr>
                <w:b w:val="0"/>
                <w:sz w:val="16"/>
              </w:rPr>
              <w:t>Retired. Never reused — see Section 8</w:t>
            </w:r>
          </w:p>
        </w:tc>
        <w:tc>
          <w:tcPr>
            <w:tcW w:type="dxa" w:w="2381"/>
          </w:tcPr>
          <w:p>
            <w:pPr>
              <w:spacing w:after="40"/>
            </w:pPr>
            <w:r>
              <w:rPr>
                <w:sz w:val="16"/>
              </w:rPr>
            </w:r>
            <w:r>
              <w:rPr>
                <w:b w:val="0"/>
                <w:sz w:val="16"/>
              </w:rPr>
              <w:t>Cancellation notice, issued to everyone who received the container</w:t>
            </w:r>
          </w:p>
        </w:tc>
      </w:tr>
      <w:tr>
        <w:tc>
          <w:tcPr>
            <w:tcW w:type="dxa" w:w="1474"/>
          </w:tcPr>
          <w:p>
            <w:pPr>
              <w:spacing w:after="40"/>
            </w:pPr>
            <w:r>
              <w:rPr>
                <w:sz w:val="16"/>
              </w:rPr>
            </w:r>
            <w:r>
              <w:rPr>
                <w:b w:val="0"/>
                <w:sz w:val="16"/>
              </w:rPr>
              <w:t>Replaced</w:t>
            </w:r>
          </w:p>
        </w:tc>
        <w:tc>
          <w:tcPr>
            <w:tcW w:type="dxa" w:w="3061"/>
          </w:tcPr>
          <w:p>
            <w:pPr>
              <w:spacing w:after="40"/>
            </w:pPr>
            <w:r>
              <w:rPr>
                <w:sz w:val="16"/>
              </w:rPr>
            </w:r>
            <w:r>
              <w:rPr>
                <w:b w:val="0"/>
                <w:sz w:val="16"/>
              </w:rPr>
              <w:t>The container is no longer required, and a DIFFERENT container now covers its scope. The scope moved rather than disappeared</w:t>
            </w:r>
          </w:p>
        </w:tc>
        <w:tc>
          <w:tcPr>
            <w:tcW w:type="dxa" w:w="2494"/>
          </w:tcPr>
          <w:p>
            <w:pPr>
              <w:spacing w:after="40"/>
            </w:pPr>
            <w:r>
              <w:rPr>
                <w:sz w:val="16"/>
              </w:rPr>
            </w:r>
            <w:r>
              <w:rPr>
                <w:b w:val="0"/>
                <w:sz w:val="16"/>
              </w:rPr>
              <w:t>Retired, and cross-referenced to the replacing container in both directions</w:t>
            </w:r>
          </w:p>
        </w:tc>
        <w:tc>
          <w:tcPr>
            <w:tcW w:type="dxa" w:w="2381"/>
          </w:tcPr>
          <w:p>
            <w:pPr>
              <w:spacing w:after="40"/>
            </w:pPr>
            <w:r>
              <w:rPr>
                <w:sz w:val="16"/>
              </w:rPr>
            </w:r>
            <w:r>
              <w:rPr>
                <w:b w:val="0"/>
                <w:sz w:val="16"/>
              </w:rPr>
              <w:t>Replacement notice, naming both containers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SUPERSEDED IS NOT CANCELLED</w:t>
            </w:r>
          </w:p>
          <w:p>
            <w:r>
              <w:rPr>
                <w:b w:val="0"/>
                <w:sz w:val="19"/>
              </w:rPr>
              <w:t>The distinction that matters is between superseded and cancelled. A superseded drawing is still the current information for its scope, at a later revision. A cancelled drawing means there is no current information for that scope, and somebody needs to know that. Marking a cancellation as a supersession leaves a recipient waiting for a revision that will never arrive.</w:t>
            </w:r>
          </w:p>
        </w:tc>
      </w:tr>
    </w:tbl>
    <w:p>
      <w:pPr>
        <w:spacing w:after="40"/>
      </w:pPr>
    </w:p>
    <w:p>
      <w:pPr>
        <w:pStyle w:val="Heading2"/>
      </w:pPr>
      <w:r>
        <w:t>7.1  Marking</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Where</w:t>
            </w:r>
          </w:p>
        </w:tc>
        <w:tc>
          <w:tcPr>
            <w:tcW w:type="dxa" w:w="7483"/>
            <w:shd w:val="clear" w:fill="E8EDF3"/>
          </w:tcPr>
          <w:p>
            <w:r/>
            <w:r>
              <w:rPr>
                <w:b/>
                <w:color w:val="1F3654"/>
                <w:sz w:val="17"/>
              </w:rPr>
              <w:t>Requirement</w:t>
            </w:r>
          </w:p>
        </w:tc>
      </w:tr>
      <w:tr>
        <w:tc>
          <w:tcPr>
            <w:tcW w:type="dxa" w:w="1928"/>
          </w:tcPr>
          <w:p>
            <w:pPr>
              <w:spacing w:after="40"/>
            </w:pPr>
            <w:r>
              <w:rPr>
                <w:sz w:val="17"/>
              </w:rPr>
            </w:r>
            <w:r>
              <w:rPr>
                <w:b w:val="0"/>
                <w:sz w:val="17"/>
              </w:rPr>
              <w:t>On the sheet</w:t>
            </w:r>
          </w:p>
        </w:tc>
        <w:tc>
          <w:tcPr>
            <w:tcW w:type="dxa" w:w="7483"/>
          </w:tcPr>
          <w:p>
            <w:pPr>
              <w:spacing w:after="40"/>
            </w:pPr>
            <w:r>
              <w:rPr>
                <w:sz w:val="17"/>
              </w:rPr>
            </w:r>
            <w:r>
              <w:rPr>
                <w:b w:val="0"/>
                <w:sz w:val="17"/>
              </w:rPr>
              <w:t>A cancelled or replaced sheet is stamped across its face and reissued once at the next revision, so the stamped version is what a recipient holds</w:t>
            </w:r>
          </w:p>
        </w:tc>
      </w:tr>
      <w:tr>
        <w:tc>
          <w:tcPr>
            <w:tcW w:type="dxa" w:w="1928"/>
          </w:tcPr>
          <w:p>
            <w:pPr>
              <w:spacing w:after="40"/>
            </w:pPr>
            <w:r>
              <w:rPr>
                <w:sz w:val="17"/>
              </w:rPr>
            </w:r>
            <w:r>
              <w:rPr>
                <w:b w:val="0"/>
                <w:sz w:val="17"/>
              </w:rPr>
              <w:t>In the register</w:t>
            </w:r>
          </w:p>
        </w:tc>
        <w:tc>
          <w:tcPr>
            <w:tcW w:type="dxa" w:w="7483"/>
          </w:tcPr>
          <w:p>
            <w:pPr>
              <w:spacing w:after="40"/>
            </w:pPr>
            <w:r>
              <w:rPr>
                <w:sz w:val="17"/>
              </w:rPr>
            </w:r>
            <w:r>
              <w:rPr>
                <w:b w:val="0"/>
                <w:sz w:val="17"/>
              </w:rPr>
              <w:t>Status set, with the date, the reason, and the replacing container where there is one</w:t>
            </w:r>
          </w:p>
        </w:tc>
      </w:tr>
      <w:tr>
        <w:tc>
          <w:tcPr>
            <w:tcW w:type="dxa" w:w="1928"/>
          </w:tcPr>
          <w:p>
            <w:pPr>
              <w:spacing w:after="40"/>
            </w:pPr>
            <w:r>
              <w:rPr>
                <w:sz w:val="17"/>
              </w:rPr>
            </w:r>
            <w:r>
              <w:rPr>
                <w:b w:val="0"/>
                <w:sz w:val="17"/>
              </w:rPr>
              <w:t>In the CDE</w:t>
            </w:r>
          </w:p>
        </w:tc>
        <w:tc>
          <w:tcPr>
            <w:tcW w:type="dxa" w:w="7483"/>
          </w:tcPr>
          <w:p>
            <w:pPr>
              <w:spacing w:after="40"/>
            </w:pPr>
            <w:r>
              <w:rPr>
                <w:sz w:val="17"/>
              </w:rPr>
            </w:r>
            <w:r>
              <w:rPr>
                <w:b w:val="0"/>
                <w:sz w:val="17"/>
              </w:rPr>
              <w:t>Moved to the archived state. Never deleted</w:t>
            </w:r>
          </w:p>
        </w:tc>
      </w:tr>
      <w:tr>
        <w:tc>
          <w:tcPr>
            <w:tcW w:type="dxa" w:w="1928"/>
          </w:tcPr>
          <w:p>
            <w:pPr>
              <w:spacing w:after="40"/>
            </w:pPr>
            <w:r>
              <w:rPr>
                <w:sz w:val="17"/>
              </w:rPr>
            </w:r>
            <w:r>
              <w:rPr>
                <w:b w:val="0"/>
                <w:sz w:val="17"/>
              </w:rPr>
              <w:t>In the model</w:t>
            </w:r>
          </w:p>
        </w:tc>
        <w:tc>
          <w:tcPr>
            <w:tcW w:type="dxa" w:w="7483"/>
          </w:tcPr>
          <w:p>
            <w:pPr>
              <w:spacing w:after="40"/>
            </w:pPr>
            <w:r>
              <w:rPr>
                <w:sz w:val="17"/>
              </w:rPr>
            </w:r>
            <w:r>
              <w:rPr>
                <w:b w:val="0"/>
                <w:sz w:val="17"/>
              </w:rPr>
              <w:t>Any view or sheet corresponding to a cancelled container is removed from the issue set, not from the model</w:t>
            </w:r>
          </w:p>
        </w:tc>
      </w:tr>
    </w:tbl>
    <w:p>
      <w:pPr>
        <w:spacing w:after="40"/>
      </w:pPr>
    </w:p>
    <w:p>
      <w:r>
        <w:br w:type="page"/>
      </w:r>
    </w:p>
    <w:p>
      <w:pPr>
        <w:pStyle w:val="Heading1"/>
        <w:pBdr>
          <w:bottom w:val="single" w:sz="8" w:space="4" w:color="1F3654"/>
        </w:pBdr>
      </w:pPr>
      <w:r>
        <w:t>8  Number retirement and reuse</w:t>
      </w:r>
    </w:p>
    <w:p>
      <w:r>
        <w:rPr>
          <w:b w:val="0"/>
          <w:i w:val="0"/>
        </w:rPr>
        <w:t>A retired number is never issued to a different container. This is not a filing preference: drawing numbers are quoted in requests for information, instructions, valuations, correspondence and site records, none of which are reissued when a number changes hands. A reused number makes every one of those references ambiguous, and the ambiguity is only discovered when somebody builds the wrong thing.</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Rule</w:t>
            </w:r>
          </w:p>
        </w:tc>
        <w:tc>
          <w:tcPr>
            <w:tcW w:type="dxa" w:w="7483"/>
            <w:shd w:val="clear" w:fill="E8EDF3"/>
          </w:tcPr>
          <w:p>
            <w:r/>
            <w:r>
              <w:rPr>
                <w:b/>
                <w:color w:val="1F3654"/>
                <w:sz w:val="17"/>
              </w:rPr>
              <w:t>Requirement</w:t>
            </w:r>
          </w:p>
        </w:tc>
      </w:tr>
      <w:tr>
        <w:tc>
          <w:tcPr>
            <w:tcW w:type="dxa" w:w="1928"/>
          </w:tcPr>
          <w:p>
            <w:pPr>
              <w:spacing w:after="40"/>
            </w:pPr>
            <w:r>
              <w:rPr>
                <w:sz w:val="17"/>
              </w:rPr>
            </w:r>
            <w:r>
              <w:rPr>
                <w:b w:val="0"/>
                <w:sz w:val="17"/>
              </w:rPr>
              <w:t>Retirement</w:t>
            </w:r>
          </w:p>
        </w:tc>
        <w:tc>
          <w:tcPr>
            <w:tcW w:type="dxa" w:w="7483"/>
          </w:tcPr>
          <w:p>
            <w:pPr>
              <w:spacing w:after="40"/>
            </w:pPr>
            <w:r>
              <w:rPr>
                <w:sz w:val="17"/>
              </w:rPr>
            </w:r>
            <w:r>
              <w:rPr>
                <w:b w:val="0"/>
                <w:sz w:val="17"/>
              </w:rPr>
              <w:t>A cancelled or replaced number is marked retired in the register on the day the notice is issued</w:t>
            </w:r>
          </w:p>
        </w:tc>
      </w:tr>
      <w:tr>
        <w:tc>
          <w:tcPr>
            <w:tcW w:type="dxa" w:w="1928"/>
          </w:tcPr>
          <w:p>
            <w:pPr>
              <w:spacing w:after="40"/>
            </w:pPr>
            <w:r>
              <w:rPr>
                <w:sz w:val="17"/>
              </w:rPr>
            </w:r>
            <w:r>
              <w:rPr>
                <w:b w:val="0"/>
                <w:sz w:val="17"/>
              </w:rPr>
              <w:t>Reuse</w:t>
            </w:r>
          </w:p>
        </w:tc>
        <w:tc>
          <w:tcPr>
            <w:tcW w:type="dxa" w:w="7483"/>
          </w:tcPr>
          <w:p>
            <w:pPr>
              <w:spacing w:after="40"/>
            </w:pPr>
            <w:r>
              <w:rPr>
                <w:sz w:val="17"/>
              </w:rPr>
            </w:r>
            <w:r>
              <w:rPr>
                <w:b w:val="0"/>
                <w:sz w:val="17"/>
              </w:rPr>
              <w:t>Prohibited, for the life of the project and the handover record</w:t>
            </w:r>
          </w:p>
        </w:tc>
      </w:tr>
      <w:tr>
        <w:tc>
          <w:tcPr>
            <w:tcW w:type="dxa" w:w="1928"/>
          </w:tcPr>
          <w:p>
            <w:pPr>
              <w:spacing w:after="40"/>
            </w:pPr>
            <w:r>
              <w:rPr>
                <w:sz w:val="17"/>
              </w:rPr>
            </w:r>
            <w:r>
              <w:rPr>
                <w:b w:val="0"/>
                <w:sz w:val="17"/>
              </w:rPr>
              <w:t>Gaps</w:t>
            </w:r>
          </w:p>
        </w:tc>
        <w:tc>
          <w:tcPr>
            <w:tcW w:type="dxa" w:w="7483"/>
          </w:tcPr>
          <w:p>
            <w:pPr>
              <w:spacing w:after="40"/>
            </w:pPr>
            <w:r>
              <w:rPr>
                <w:sz w:val="17"/>
              </w:rPr>
            </w:r>
            <w:r>
              <w:rPr>
                <w:b w:val="0"/>
                <w:sz w:val="17"/>
              </w:rPr>
              <w:t>A gap in a sequence is expected and is not an error. The register explains every gap</w:t>
            </w:r>
          </w:p>
        </w:tc>
      </w:tr>
      <w:tr>
        <w:tc>
          <w:tcPr>
            <w:tcW w:type="dxa" w:w="1928"/>
          </w:tcPr>
          <w:p>
            <w:pPr>
              <w:spacing w:after="40"/>
            </w:pPr>
            <w:r>
              <w:rPr>
                <w:sz w:val="17"/>
              </w:rPr>
            </w:r>
            <w:r>
              <w:rPr>
                <w:b w:val="0"/>
                <w:sz w:val="17"/>
              </w:rPr>
              <w:t>Sheet bands</w:t>
            </w:r>
          </w:p>
        </w:tc>
        <w:tc>
          <w:tcPr>
            <w:tcW w:type="dxa" w:w="7483"/>
          </w:tcPr>
          <w:p>
            <w:pPr>
              <w:spacing w:after="40"/>
            </w:pPr>
            <w:r>
              <w:rPr>
                <w:sz w:val="17"/>
              </w:rPr>
            </w:r>
            <w:r>
              <w:rPr>
                <w:b w:val="0"/>
                <w:sz w:val="17"/>
              </w:rPr>
              <w:t>A retired sheet number leaves a gap in its band. The next sheet in that band takes the next free number, not the retired one</w:t>
            </w:r>
          </w:p>
        </w:tc>
      </w:tr>
      <w:tr>
        <w:tc>
          <w:tcPr>
            <w:tcW w:type="dxa" w:w="1928"/>
          </w:tcPr>
          <w:p>
            <w:pPr>
              <w:spacing w:after="40"/>
            </w:pPr>
            <w:r>
              <w:rPr>
                <w:sz w:val="17"/>
              </w:rPr>
            </w:r>
            <w:r>
              <w:rPr>
                <w:b w:val="0"/>
                <w:sz w:val="17"/>
              </w:rPr>
              <w:t>Audit</w:t>
            </w:r>
          </w:p>
        </w:tc>
        <w:tc>
          <w:tcPr>
            <w:tcW w:type="dxa" w:w="7483"/>
          </w:tcPr>
          <w:p>
            <w:pPr>
              <w:spacing w:after="40"/>
            </w:pPr>
            <w:r>
              <w:rPr>
                <w:sz w:val="17"/>
              </w:rPr>
            </w:r>
            <w:r>
              <w:rPr>
                <w:b w:val="0"/>
                <w:sz w:val="17"/>
              </w:rPr>
              <w:t>The Information Manager checks for reused numbers at every gate. A reused number is a gate failure, not an observation</w:t>
            </w:r>
          </w:p>
        </w:tc>
      </w:tr>
    </w:tbl>
    <w:p>
      <w:pPr>
        <w:spacing w:after="40"/>
      </w:pPr>
    </w:p>
    <w:p>
      <w:r>
        <w:br w:type="page"/>
      </w:r>
    </w:p>
    <w:p>
      <w:pPr>
        <w:pStyle w:val="Heading1"/>
        <w:pBdr>
          <w:bottom w:val="single" w:sz="8" w:space="4" w:color="1F3654"/>
        </w:pBdr>
      </w:pPr>
      <w:r>
        <w:t>9  The register</w:t>
      </w:r>
    </w:p>
    <w:p>
      <w:r>
        <w:rPr>
          <w:b w:val="0"/>
          <w:i w:val="0"/>
        </w:rPr>
        <w:t>The register is the record of every container on the project: its name, its title, its originator, its current revision, its suitability, its status, its authoriser and the transmittal it was last issued on. It is maintained by the Information Manager and reissued with the monthly status report.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Requirement</w:t>
            </w:r>
          </w:p>
        </w:tc>
        <w:tc>
          <w:tcPr>
            <w:tcW w:type="dxa" w:w="7483"/>
            <w:shd w:val="clear" w:fill="E8EDF3"/>
          </w:tcPr>
          <w:p>
            <w:r/>
            <w:r>
              <w:rPr>
                <w:b/>
                <w:color w:val="1F3654"/>
                <w:sz w:val="17"/>
              </w:rPr>
              <w:t>Detail</w:t>
            </w:r>
          </w:p>
        </w:tc>
      </w:tr>
      <w:tr>
        <w:tc>
          <w:tcPr>
            <w:tcW w:type="dxa" w:w="1928"/>
          </w:tcPr>
          <w:p>
            <w:pPr>
              <w:spacing w:after="40"/>
            </w:pPr>
            <w:r>
              <w:rPr>
                <w:sz w:val="17"/>
              </w:rPr>
            </w:r>
            <w:r>
              <w:rPr>
                <w:b w:val="0"/>
                <w:sz w:val="17"/>
              </w:rPr>
              <w:t>Completeness</w:t>
            </w:r>
          </w:p>
        </w:tc>
        <w:tc>
          <w:tcPr>
            <w:tcW w:type="dxa" w:w="7483"/>
          </w:tcPr>
          <w:p>
            <w:pPr>
              <w:spacing w:after="40"/>
            </w:pPr>
            <w:r>
              <w:rPr>
                <w:sz w:val="17"/>
              </w:rPr>
            </w:r>
            <w:r>
              <w:rPr>
                <w:b w:val="0"/>
                <w:sz w:val="17"/>
              </w:rPr>
              <w:t>Every container that has ever been issued appears, including cancelled, replaced and superseded ones</w:t>
            </w:r>
          </w:p>
        </w:tc>
      </w:tr>
      <w:tr>
        <w:tc>
          <w:tcPr>
            <w:tcW w:type="dxa" w:w="1928"/>
          </w:tcPr>
          <w:p>
            <w:pPr>
              <w:spacing w:after="40"/>
            </w:pPr>
            <w:r>
              <w:rPr>
                <w:sz w:val="17"/>
              </w:rPr>
            </w:r>
            <w:r>
              <w:rPr>
                <w:b w:val="0"/>
                <w:sz w:val="17"/>
              </w:rPr>
              <w:t>Currency</w:t>
            </w:r>
          </w:p>
        </w:tc>
        <w:tc>
          <w:tcPr>
            <w:tcW w:type="dxa" w:w="7483"/>
          </w:tcPr>
          <w:p>
            <w:pPr>
              <w:spacing w:after="40"/>
            </w:pPr>
            <w:r>
              <w:rPr>
                <w:sz w:val="17"/>
              </w:rPr>
            </w:r>
            <w:r>
              <w:rPr>
                <w:b w:val="0"/>
                <w:sz w:val="17"/>
              </w:rPr>
              <w:t>Updated at every issue, not in batches</w:t>
            </w:r>
          </w:p>
        </w:tc>
      </w:tr>
      <w:tr>
        <w:tc>
          <w:tcPr>
            <w:tcW w:type="dxa" w:w="1928"/>
          </w:tcPr>
          <w:p>
            <w:pPr>
              <w:spacing w:after="40"/>
            </w:pPr>
            <w:r>
              <w:rPr>
                <w:sz w:val="17"/>
              </w:rPr>
            </w:r>
            <w:r>
              <w:rPr>
                <w:b w:val="0"/>
                <w:sz w:val="17"/>
              </w:rPr>
              <w:t>Authority</w:t>
            </w:r>
          </w:p>
        </w:tc>
        <w:tc>
          <w:tcPr>
            <w:tcW w:type="dxa" w:w="7483"/>
          </w:tcPr>
          <w:p>
            <w:pPr>
              <w:spacing w:after="40"/>
            </w:pPr>
            <w:r>
              <w:rPr>
                <w:sz w:val="17"/>
              </w:rPr>
            </w:r>
            <w:r>
              <w:rPr>
                <w:b w:val="0"/>
                <w:sz w:val="17"/>
              </w:rPr>
              <w:t>The register is the record. Where a local copy of a document disagrees with the register, the register is correct and the local copy is out of date</w:t>
            </w:r>
          </w:p>
        </w:tc>
      </w:tr>
      <w:tr>
        <w:tc>
          <w:tcPr>
            <w:tcW w:type="dxa" w:w="1928"/>
          </w:tcPr>
          <w:p>
            <w:pPr>
              <w:spacing w:after="40"/>
            </w:pPr>
            <w:r>
              <w:rPr>
                <w:sz w:val="17"/>
              </w:rPr>
            </w:r>
            <w:r>
              <w:rPr>
                <w:b w:val="0"/>
                <w:sz w:val="17"/>
              </w:rPr>
              <w:t>Retention</w:t>
            </w:r>
          </w:p>
        </w:tc>
        <w:tc>
          <w:tcPr>
            <w:tcW w:type="dxa" w:w="7483"/>
          </w:tcPr>
          <w:p>
            <w:pPr>
              <w:spacing w:after="40"/>
            </w:pPr>
            <w:r>
              <w:rPr>
                <w:sz w:val="17"/>
              </w:rPr>
            </w:r>
            <w:r>
              <w:rPr>
                <w:b w:val="0"/>
                <w:sz w:val="17"/>
              </w:rPr>
              <w:t>Retained for the life of the project and handed over as part of the record information</w:t>
            </w:r>
          </w:p>
        </w:tc>
      </w:tr>
    </w:tbl>
    <w:p>
      <w:pPr>
        <w:spacing w:after="40"/>
      </w:pPr>
    </w:p>
    <w:p>
      <w:r>
        <w:br w:type="page"/>
      </w:r>
    </w:p>
    <w:p>
      <w:pPr>
        <w:pStyle w:val="Heading1"/>
        <w:pBdr>
          <w:bottom w:val="single" w:sz="8" w:space="4" w:color="1F3654"/>
        </w:pBdr>
      </w:pPr>
      <w:r>
        <w:t>10  Non-conformity</w:t>
      </w:r>
    </w:p>
    <w:p>
      <w:r>
        <w:rPr>
          <w:b w:val="0"/>
          <w:i w:val="0"/>
        </w:rPr>
        <w:t>Information that does not meet this standard is returned unaccepted, and the originating party remains responsible for the programme consequences. The following are non-conformities.</w:t>
      </w:r>
    </w:p>
    <w:tbl>
      <w:tblPr>
        <w:tblStyle w:val="TableGrid"/>
        <w:tblW w:type="auto" w:w="0"/>
        <w:jc w:val="left"/>
        <w:tblLook w:firstColumn="1" w:firstRow="1" w:lastColumn="0" w:lastRow="0" w:noHBand="0" w:noVBand="1" w:val="04A0"/>
      </w:tblPr>
      <w:tblGrid>
        <w:gridCol w:w="4706"/>
        <w:gridCol w:w="4706"/>
      </w:tblGrid>
      <w:tr>
        <w:trPr>
          <w:tblHeader/>
        </w:trPr>
        <w:tc>
          <w:tcPr>
            <w:tcW w:type="dxa" w:w="680"/>
            <w:shd w:val="clear" w:fill="E8EDF3"/>
          </w:tcPr>
          <w:p>
            <w:r/>
            <w:r>
              <w:rPr>
                <w:b/>
                <w:color w:val="1F3654"/>
                <w:sz w:val="17"/>
              </w:rPr>
              <w:t>#</w:t>
            </w:r>
          </w:p>
        </w:tc>
        <w:tc>
          <w:tcPr>
            <w:tcW w:type="dxa" w:w="8731"/>
            <w:shd w:val="clear" w:fill="E8EDF3"/>
          </w:tcPr>
          <w:p>
            <w:r/>
            <w:r>
              <w:rPr>
                <w:b/>
                <w:color w:val="1F3654"/>
                <w:sz w:val="17"/>
              </w:rPr>
              <w:t>Non-conformity</w:t>
            </w:r>
          </w:p>
        </w:tc>
      </w:tr>
      <w:tr>
        <w:tc>
          <w:tcPr>
            <w:tcW w:type="dxa" w:w="680"/>
          </w:tcPr>
          <w:p>
            <w:pPr>
              <w:spacing w:after="40"/>
            </w:pPr>
            <w:r>
              <w:rPr>
                <w:sz w:val="17"/>
              </w:rPr>
            </w:r>
            <w:r>
              <w:rPr>
                <w:b w:val="0"/>
                <w:sz w:val="17"/>
              </w:rPr>
              <w:t>1</w:t>
            </w:r>
          </w:p>
        </w:tc>
        <w:tc>
          <w:tcPr>
            <w:tcW w:type="dxa" w:w="8731"/>
          </w:tcPr>
          <w:p>
            <w:pPr>
              <w:spacing w:after="40"/>
            </w:pPr>
            <w:r>
              <w:rPr>
                <w:sz w:val="17"/>
              </w:rPr>
            </w:r>
            <w:r>
              <w:rPr>
                <w:b w:val="0"/>
                <w:sz w:val="17"/>
              </w:rPr>
              <w:t>A container name that does not match Section 2</w:t>
            </w:r>
          </w:p>
        </w:tc>
      </w:tr>
      <w:tr>
        <w:tc>
          <w:tcPr>
            <w:tcW w:type="dxa" w:w="680"/>
          </w:tcPr>
          <w:p>
            <w:pPr>
              <w:spacing w:after="40"/>
            </w:pPr>
            <w:r>
              <w:rPr>
                <w:sz w:val="17"/>
              </w:rPr>
            </w:r>
            <w:r>
              <w:rPr>
                <w:b w:val="0"/>
                <w:sz w:val="17"/>
              </w:rPr>
              <w:t>2</w:t>
            </w:r>
          </w:p>
        </w:tc>
        <w:tc>
          <w:tcPr>
            <w:tcW w:type="dxa" w:w="8731"/>
          </w:tcPr>
          <w:p>
            <w:pPr>
              <w:spacing w:after="40"/>
            </w:pPr>
            <w:r>
              <w:rPr>
                <w:sz w:val="17"/>
              </w:rPr>
            </w:r>
            <w:r>
              <w:rPr>
                <w:b w:val="0"/>
                <w:sz w:val="17"/>
              </w:rPr>
              <w:t>A sheet number outside the bands in Section 3, once those bands are confirmed</w:t>
            </w:r>
          </w:p>
        </w:tc>
      </w:tr>
      <w:tr>
        <w:tc>
          <w:tcPr>
            <w:tcW w:type="dxa" w:w="680"/>
          </w:tcPr>
          <w:p>
            <w:pPr>
              <w:spacing w:after="40"/>
            </w:pPr>
            <w:r>
              <w:rPr>
                <w:sz w:val="17"/>
              </w:rPr>
            </w:r>
            <w:r>
              <w:rPr>
                <w:b w:val="0"/>
                <w:sz w:val="17"/>
              </w:rPr>
              <w:t>3</w:t>
            </w:r>
          </w:p>
        </w:tc>
        <w:tc>
          <w:tcPr>
            <w:tcW w:type="dxa" w:w="8731"/>
          </w:tcPr>
          <w:p>
            <w:pPr>
              <w:spacing w:after="40"/>
            </w:pPr>
            <w:r>
              <w:rPr>
                <w:sz w:val="17"/>
              </w:rPr>
            </w:r>
            <w:r>
              <w:rPr>
                <w:b w:val="0"/>
                <w:sz w:val="17"/>
              </w:rPr>
              <w:t>An issue at the same revision as a previous issue with different content</w:t>
            </w:r>
          </w:p>
        </w:tc>
      </w:tr>
      <w:tr>
        <w:tc>
          <w:tcPr>
            <w:tcW w:type="dxa" w:w="680"/>
          </w:tcPr>
          <w:p>
            <w:pPr>
              <w:spacing w:after="40"/>
            </w:pPr>
            <w:r>
              <w:rPr>
                <w:sz w:val="17"/>
              </w:rPr>
            </w:r>
            <w:r>
              <w:rPr>
                <w:b w:val="0"/>
                <w:sz w:val="17"/>
              </w:rPr>
              <w:t>4</w:t>
            </w:r>
          </w:p>
        </w:tc>
        <w:tc>
          <w:tcPr>
            <w:tcW w:type="dxa" w:w="8731"/>
          </w:tcPr>
          <w:p>
            <w:pPr>
              <w:spacing w:after="40"/>
            </w:pPr>
            <w:r>
              <w:rPr>
                <w:sz w:val="17"/>
              </w:rPr>
            </w:r>
            <w:r>
              <w:rPr>
                <w:b w:val="0"/>
                <w:sz w:val="17"/>
              </w:rPr>
              <w:t>Information issued without a transmittal</w:t>
            </w:r>
          </w:p>
        </w:tc>
      </w:tr>
      <w:tr>
        <w:tc>
          <w:tcPr>
            <w:tcW w:type="dxa" w:w="680"/>
          </w:tcPr>
          <w:p>
            <w:pPr>
              <w:spacing w:after="40"/>
            </w:pPr>
            <w:r>
              <w:rPr>
                <w:sz w:val="17"/>
              </w:rPr>
            </w:r>
            <w:r>
              <w:rPr>
                <w:b w:val="0"/>
                <w:sz w:val="17"/>
              </w:rPr>
              <w:t>5</w:t>
            </w:r>
          </w:p>
        </w:tc>
        <w:tc>
          <w:tcPr>
            <w:tcW w:type="dxa" w:w="8731"/>
          </w:tcPr>
          <w:p>
            <w:pPr>
              <w:spacing w:after="40"/>
            </w:pPr>
            <w:r>
              <w:rPr>
                <w:sz w:val="17"/>
              </w:rPr>
            </w:r>
            <w:r>
              <w:rPr>
                <w:b w:val="0"/>
                <w:sz w:val="17"/>
              </w:rPr>
              <w:t>A container marked A1 with no recorded authoriser</w:t>
            </w:r>
          </w:p>
        </w:tc>
      </w:tr>
      <w:tr>
        <w:tc>
          <w:tcPr>
            <w:tcW w:type="dxa" w:w="680"/>
          </w:tcPr>
          <w:p>
            <w:pPr>
              <w:spacing w:after="40"/>
            </w:pPr>
            <w:r>
              <w:rPr>
                <w:sz w:val="17"/>
              </w:rPr>
            </w:r>
            <w:r>
              <w:rPr>
                <w:b w:val="0"/>
                <w:sz w:val="17"/>
              </w:rPr>
              <w:t>6</w:t>
            </w:r>
          </w:p>
        </w:tc>
        <w:tc>
          <w:tcPr>
            <w:tcW w:type="dxa" w:w="8731"/>
          </w:tcPr>
          <w:p>
            <w:pPr>
              <w:spacing w:after="40"/>
            </w:pPr>
            <w:r>
              <w:rPr>
                <w:sz w:val="17"/>
              </w:rPr>
            </w:r>
            <w:r>
              <w:rPr>
                <w:b w:val="0"/>
                <w:sz w:val="17"/>
              </w:rPr>
              <w:t>A cancelled container recorded as superseded, or the reverse</w:t>
            </w:r>
          </w:p>
        </w:tc>
      </w:tr>
      <w:tr>
        <w:tc>
          <w:tcPr>
            <w:tcW w:type="dxa" w:w="680"/>
          </w:tcPr>
          <w:p>
            <w:pPr>
              <w:spacing w:after="40"/>
            </w:pPr>
            <w:r>
              <w:rPr>
                <w:sz w:val="17"/>
              </w:rPr>
            </w:r>
            <w:r>
              <w:rPr>
                <w:b w:val="0"/>
                <w:sz w:val="17"/>
              </w:rPr>
              <w:t>7</w:t>
            </w:r>
          </w:p>
        </w:tc>
        <w:tc>
          <w:tcPr>
            <w:tcW w:type="dxa" w:w="8731"/>
          </w:tcPr>
          <w:p>
            <w:pPr>
              <w:spacing w:after="40"/>
            </w:pPr>
            <w:r>
              <w:rPr>
                <w:sz w:val="17"/>
              </w:rPr>
            </w:r>
            <w:r>
              <w:rPr>
                <w:b w:val="0"/>
                <w:sz w:val="17"/>
              </w:rPr>
              <w:t>A reused number</w:t>
            </w:r>
          </w:p>
        </w:tc>
      </w:tr>
      <w:tr>
        <w:tc>
          <w:tcPr>
            <w:tcW w:type="dxa" w:w="680"/>
          </w:tcPr>
          <w:p>
            <w:pPr>
              <w:spacing w:after="40"/>
            </w:pPr>
            <w:r>
              <w:rPr>
                <w:sz w:val="17"/>
              </w:rPr>
            </w:r>
            <w:r>
              <w:rPr>
                <w:b w:val="0"/>
                <w:sz w:val="17"/>
              </w:rPr>
              <w:t>8</w:t>
            </w:r>
          </w:p>
        </w:tc>
        <w:tc>
          <w:tcPr>
            <w:tcW w:type="dxa" w:w="8731"/>
          </w:tcPr>
          <w:p>
            <w:pPr>
              <w:spacing w:after="40"/>
            </w:pPr>
            <w:r>
              <w:rPr>
                <w:sz w:val="17"/>
              </w:rPr>
            </w:r>
            <w:r>
              <w:rPr>
                <w:b w:val="0"/>
                <w:sz w:val="17"/>
              </w:rPr>
              <w:t>Information issued outside the Common Data Environment</w:t>
            </w:r>
          </w:p>
        </w:tc>
      </w:tr>
    </w:tbl>
    <w:p>
      <w:pPr>
        <w:spacing w:after="40"/>
      </w:pPr>
    </w:p>
    <w:p>
      <w:r>
        <w:rPr>
          <w:b w:val="0"/>
          <w:i w:val="0"/>
        </w:rPr>
        <w:t>The first four are detected automatically at the point of sharing. The remainder are detected at the gate audit, which is later and more expensive to correct.</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Document Control Standard   |   Rev P01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Document Control Standard</dc:title>
  <dc:subject>Kampala Uganda Temple — numbering, revision, issue and retirement of project information</dc:subject>
  <dc:creator>Symbion Consulting Group Studios</dc:creator>
  <cp:keywords/>
  <dc:description>Rev P01. Issued through the Common Data Environment. Uncontrolled when printed. Generated by tools/build_document_control.py; do not hand-edit - regenerate. parts-sha256:ac2a1efd2815abaefa93e4584efd4b12437f423cdf029deae470d39eedab5308 inputs-sha256:3b219df6273f79f6a69f747229a3d4a9a6ff13cb671a1758fe0cffb592760746</dc:description>
  <cp:lastModifiedBy>Symbion Consulting Group Studios</cp:lastModifiedBy>
  <cp:revision>1</cp:revision>
  <dcterms:created xsi:type="dcterms:W3CDTF">2020-01-01T00:00:00Z</dcterms:created>
  <dcterms:modified xsi:type="dcterms:W3CDTF">2020-01-01T00:00:00Z</dcterms:modified>
  <cp:category>Project procedure</cp:category>
</cp:coreProperties>
</file>