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Material Requisition (C10)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MR issued to procurement for supplier selection. Follows mr_default workflow: Draft → Submitted → Approved/Rejected.</w:t>
      </w:r>
    </w:p>
    <w:p>
      <w:pPr>
        <w:spacing w:before="160" w:after="40"/>
      </w:pPr>
      <w:r>
        <w:rPr>
          <w:b/>
          <w:color w:val="1F4E79"/>
          <w:sz w:val="22"/>
        </w:rPr>
        <w:t>MR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MR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{{doc.revision}}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{{doc.discipline}}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{{doc.system}}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{{doc.subsystem}}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Equipment type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{{doc.equipment_type}}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Contract reference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{{doc.contractor_ref}}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{{doc.generated_at}}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Scope of supply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Item no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UoM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Spec ref</w:t>
            </w:r>
          </w:p>
        </w:tc>
        <w:tc>
          <w:tcPr>
            <w:tcW w:type="dxa" w:w="1606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scope_items}}</w:t>
            </w:r>
          </w:p>
          <w:p>
            <w:r>
              <w:t>{{scope_items.item}}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{{scope_items.description}}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{{scope_items.qty}}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{{scope_items.uom}}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{{scope_items.spec_ref}}</w:t>
            </w:r>
          </w:p>
        </w:tc>
        <w:tc>
          <w:tcPr>
            <w:tcW w:type="dxa" w:w="1606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{{scope_items.remarks}}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Technical requirements</w:t>
      </w:r>
    </w:p>
    <w:p>
      <w:r>
        <w:rPr>
          <w:b w:val="0"/>
          <w:i w:val="0"/>
          <w:sz w:val="20"/>
        </w:rPr>
        <w:t>{{doc.reason}}</w:t>
      </w:r>
    </w:p>
    <w:p>
      <w:pPr>
        <w:spacing w:before="160" w:after="40"/>
      </w:pPr>
      <w:r>
        <w:rPr>
          <w:b/>
          <w:color w:val="1F4E79"/>
          <w:sz w:val="22"/>
        </w:rPr>
        <w:t>Supplier documents required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Doc number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Required by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supplier_docs}}</w:t>
            </w:r>
          </w:p>
          <w:p>
            <w:r>
              <w:t>{{supplier_docs.number}}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{{supplier_docs.title}}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{{supplier_docs.stage}}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{{supplier_docs.required_by}}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Commercial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Budget estimate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{{doc.budget}}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{{doc.currency}}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Tender method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{{doc.tender_method}}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Closing 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{{transmittal.response_due}}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Originator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