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Material Requisition (C10)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MR issued to procurement for supplier selection. Follows mr_default workflow: Draft → Submitted → Approved/Rejected.</w:t>
      </w:r>
    </w:p>
    <w:p>
      <w:pPr>
        <w:spacing w:before="160" w:after="40"/>
      </w:pPr>
      <w:r>
        <w:rPr>
          <w:b/>
          <w:color w:val="1F4E79"/>
          <w:sz w:val="22"/>
        </w:rPr>
        <w:t>MR header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MR id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Revision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{{doc.revision}}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 ({{project.code}})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Discipline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{{doc.discipline}}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System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{{doc.system}}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Subsystem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{{doc.subsystem}}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Equipment type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{{doc.equipment_type}}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Contract reference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{{doc.contractor_ref}}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{{doc.generated_at}}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Scope of supply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Item no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UoM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Spec ref</w:t>
            </w:r>
          </w:p>
        </w:tc>
        <w:tc>
          <w:tcPr>
            <w:tcW w:type="dxa" w:w="1606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scope_items}}</w:t>
            </w:r>
          </w:p>
          <w:p>
            <w:r>
              <w:t>{{item}}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{{description}}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{{qty}}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{{uom}}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{{spec_ref}}</w:t>
            </w:r>
          </w:p>
        </w:tc>
        <w:tc>
          <w:tcPr>
            <w:tcW w:type="dxa" w:w="1606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{{remarks}}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Technical requirements</w:t>
      </w:r>
    </w:p>
    <w:p>
      <w:r>
        <w:rPr>
          <w:b w:val="0"/>
          <w:i w:val="0"/>
          <w:sz w:val="20"/>
        </w:rPr>
        <w:t>{{doc.reason}}</w:t>
      </w:r>
    </w:p>
    <w:p>
      <w:pPr>
        <w:spacing w:before="160" w:after="40"/>
      </w:pPr>
      <w:r>
        <w:rPr>
          <w:b/>
          <w:color w:val="1F4E79"/>
          <w:sz w:val="22"/>
        </w:rPr>
        <w:t>Supplier documents required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Doc number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Stage</w:t>
            </w:r>
          </w:p>
        </w:tc>
        <w:tc>
          <w:tcPr>
            <w:tcW w:type="dxa" w:w="2409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Required by</w:t>
            </w:r>
          </w:p>
        </w:tc>
      </w:tr>
      <w:tr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supplier_docs}}</w:t>
            </w:r>
          </w:p>
          <w:p>
            <w:r>
              <w:t>{{number}}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{{title}}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{{stage}}</w:t>
            </w:r>
          </w:p>
        </w:tc>
        <w:tc>
          <w:tcPr>
            <w:tcW w:type="dxa" w:w="2409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{{required_by}}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Commercial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Budget estimate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{{doc.budget}}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Currency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{{doc.currency}}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Tender method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{{doc.tender_method}}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Closing date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{{transmittal.response_due}}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Originator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