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Technical Response (B09)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Formal response document, typically closing a TQ or RFI. Cross-links the source query via doc.supersedes.</w:t>
      </w:r>
    </w:p>
    <w:p>
      <w:pPr>
        <w:spacing w:before="160" w:after="40"/>
      </w:pPr>
      <w:r>
        <w:rPr>
          <w:b/>
          <w:color w:val="1F4E79"/>
          <w:sz w:val="22"/>
        </w:rPr>
        <w:t>Response header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Response id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Responds to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{{doc.supersedes}}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 ({{project.code}})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Discipline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{{doc.discipline}}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Answered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Approved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{{people.approved_by}}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Closed 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{{doc.generated_at}}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Subject</w:t>
      </w:r>
    </w:p>
    <w:p>
      <w:r>
        <w:rPr>
          <w:b/>
          <w:i w:val="0"/>
          <w:sz w:val="20"/>
        </w:rPr>
        <w:t>{{doc.title}}</w:t>
      </w:r>
    </w:p>
    <w:p>
      <w:pPr>
        <w:spacing w:before="160" w:after="40"/>
      </w:pPr>
      <w:r>
        <w:rPr>
          <w:b/>
          <w:color w:val="1F4E79"/>
          <w:sz w:val="22"/>
        </w:rPr>
        <w:t>Response</w:t>
      </w:r>
    </w:p>
    <w:p>
      <w:r>
        <w:rPr>
          <w:b w:val="0"/>
          <w:i w:val="0"/>
          <w:sz w:val="20"/>
        </w:rPr>
        <w:t>{{doc.reason}}</w:t>
      </w:r>
    </w:p>
    <w:p>
      <w:pPr>
        <w:spacing w:before="160" w:after="40"/>
      </w:pPr>
      <w:r>
        <w:rPr>
          <w:b/>
          <w:color w:val="1F4E79"/>
          <w:sz w:val="22"/>
        </w:rPr>
        <w:t>Attachments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Number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documents}}</w:t>
            </w:r>
          </w:p>
          <w:p>
            <w:r>
              <w:t>{{number}}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{{title}}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{{revision}}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References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references}}</w:t>
            </w:r>
          </w:p>
          <w:p>
            <w:r>
              <w:t>{{ref_type}}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{{ref_id}}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{{ref_title}}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