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12"/>
      </w:tblGrid>
      <w:tr>
        <w:tc>
          <w:tcPr>
            <w:tcW w:type="dxa" w:w="9412"/>
            <w:shd w:val="clear" w:fill="1F3654"/>
          </w:tcPr>
          <w:p>
            <w:r>
              <w:rPr>
                <w:rFonts w:ascii="Calibri" w:hAnsi="Calibri"/>
                <w:b/>
                <w:color w:val="FFFFFF"/>
                <w:sz w:val="24"/>
              </w:rPr>
              <w:t>KAMPALA UGANDA TEMPLE</w:t>
            </w:r>
          </w:p>
        </w:tc>
      </w:tr>
    </w:tbl>
    <w:p/>
    <w:p/>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p>
      <w:pPr>
        <w:spacing w:after="60"/>
      </w:pPr>
      <w:r>
        <w:rPr>
          <w:b/>
          <w:color w:val="444F5C"/>
          <w:sz w:val="17"/>
        </w:rPr>
        <w:t>DOCUMENT CONTROL</w:t>
      </w:r>
    </w:p>
    <w:tbl>
      <w:tblPr>
        <w:tblW w:type="auto" w:w="0"/>
        <w:tblLook w:firstColumn="1" w:firstRow="1" w:lastColumn="0" w:lastRow="0" w:noHBand="0" w:noVBand="1" w:val="04A0"/>
      </w:tblPr>
      <w:tblGrid>
        <w:gridCol w:w="4706"/>
        <w:gridCol w:w="4706"/>
      </w:tblGrid>
      <w:tr>
        <w:tc>
          <w:tcPr>
            <w:tcW w:type="dxa" w:w="2835"/>
            <w:shd w:val="clear" w:fill="E8EDF3"/>
          </w:tcPr>
          <w:p>
            <w:r>
              <w:rPr>
                <w:b/>
                <w:color w:val="444F5C"/>
                <w:sz w:val="18"/>
              </w:rPr>
              <w:t>Document reference</w:t>
            </w:r>
          </w:p>
        </w:tc>
        <w:tc>
          <w:tcPr>
            <w:tcW w:type="dxa" w:w="6576"/>
            <w:shd w:val="clear" w:fill="F4F6F9"/>
          </w:tcPr>
          <w:p>
            <w:r>
              <w:rPr>
                <w:sz w:val="18"/>
              </w:rPr>
              <w:t>KUT-SMB-ZZ-ZZ-RP-Z-0001</w:t>
            </w:r>
          </w:p>
        </w:tc>
      </w:tr>
      <w:tr>
        <w:tc>
          <w:tcPr>
            <w:tcW w:type="dxa" w:w="2835"/>
            <w:shd w:val="clear" w:fill="E8EDF3"/>
          </w:tcPr>
          <w:p>
            <w:r>
              <w:rPr>
                <w:b/>
                <w:color w:val="444F5C"/>
                <w:sz w:val="18"/>
              </w:rPr>
              <w:t>Revision</w:t>
            </w:r>
          </w:p>
        </w:tc>
        <w:tc>
          <w:tcPr>
            <w:tcW w:type="dxa" w:w="6576"/>
            <w:shd w:val="clear" w:fill="F4F6F9"/>
          </w:tcPr>
          <w:p>
            <w:r>
              <w:rPr>
                <w:sz w:val="18"/>
              </w:rPr>
              <w:t>P01</w:t>
            </w:r>
          </w:p>
        </w:tc>
      </w:tr>
      <w:tr>
        <w:tc>
          <w:tcPr>
            <w:tcW w:type="dxa" w:w="2835"/>
            <w:shd w:val="clear" w:fill="F6DBDB"/>
          </w:tcPr>
          <w:p>
            <w:r>
              <w:rPr>
                <w:b/>
                <w:color w:val="444F5C"/>
                <w:sz w:val="18"/>
              </w:rPr>
              <w:t>Status / suitability</w:t>
            </w:r>
          </w:p>
        </w:tc>
        <w:tc>
          <w:tcPr>
            <w:tcW w:type="dxa" w:w="6576"/>
            <w:shd w:val="clear" w:fill="FBEDED"/>
          </w:tcPr>
          <w:p>
            <w:r>
              <w:rPr>
                <w:b/>
                <w:color w:val="A00000"/>
                <w:sz w:val="18"/>
              </w:rPr>
              <w:t>DRAFT — not issued (S0, work in progress)</w:t>
            </w:r>
          </w:p>
        </w:tc>
      </w:tr>
      <w:tr>
        <w:tc>
          <w:tcPr>
            <w:tcW w:type="dxa" w:w="2835"/>
            <w:shd w:val="clear" w:fill="E8EDF3"/>
          </w:tcPr>
          <w:p>
            <w:r>
              <w:rPr>
                <w:b/>
                <w:color w:val="444F5C"/>
                <w:sz w:val="18"/>
              </w:rPr>
              <w:t>BEP type</w:t>
            </w:r>
          </w:p>
        </w:tc>
        <w:tc>
          <w:tcPr>
            <w:tcW w:type="dxa" w:w="6576"/>
            <w:shd w:val="clear" w:fill="F4F6F9"/>
          </w:tcPr>
          <w:p>
            <w:r>
              <w:rPr>
                <w:sz w:val="18"/>
              </w:rPr>
              <w:t>[FILL — pre-appointment / post-appointment]</w:t>
            </w:r>
          </w:p>
        </w:tc>
      </w:tr>
      <w:tr>
        <w:tc>
          <w:tcPr>
            <w:tcW w:type="dxa" w:w="2835"/>
            <w:shd w:val="clear" w:fill="E8EDF3"/>
          </w:tcPr>
          <w:p>
            <w:r>
              <w:rPr>
                <w:b/>
                <w:color w:val="444F5C"/>
                <w:sz w:val="18"/>
              </w:rPr>
              <w:t>Owned by</w:t>
            </w:r>
          </w:p>
        </w:tc>
        <w:tc>
          <w:tcPr>
            <w:tcW w:type="dxa" w:w="6576"/>
            <w:shd w:val="clear" w:fill="F4F6F9"/>
          </w:tcPr>
          <w:p>
            <w:r>
              <w:rPr>
                <w:sz w:val="18"/>
              </w:rPr>
              <w:t>Symbion Consulting Group Studios (Lead Appointed Party)</w:t>
            </w:r>
          </w:p>
        </w:tc>
      </w:tr>
      <w:tr>
        <w:tc>
          <w:tcPr>
            <w:tcW w:type="dxa" w:w="2835"/>
            <w:shd w:val="clear" w:fill="E8EDF3"/>
          </w:tcPr>
          <w:p>
            <w:r>
              <w:rPr>
                <w:b/>
                <w:color w:val="444F5C"/>
                <w:sz w:val="18"/>
              </w:rPr>
              <w:t>Prepared and maintained by</w:t>
            </w:r>
          </w:p>
        </w:tc>
        <w:tc>
          <w:tcPr>
            <w:tcW w:type="dxa" w:w="6576"/>
            <w:shd w:val="clear" w:fill="F4F6F9"/>
          </w:tcPr>
          <w:p>
            <w:r>
              <w:rPr>
                <w:sz w:val="18"/>
              </w:rPr>
              <w:t>Symbion Consulting Group Studios (Mayanja Davis)</w:t>
            </w:r>
          </w:p>
        </w:tc>
      </w:tr>
      <w:tr>
        <w:tc>
          <w:tcPr>
            <w:tcW w:type="dxa" w:w="2835"/>
            <w:shd w:val="clear" w:fill="E8EDF3"/>
          </w:tcPr>
          <w:p>
            <w:r>
              <w:rPr>
                <w:b/>
                <w:color w:val="444F5C"/>
                <w:sz w:val="18"/>
              </w:rPr>
              <w:t>Date of issue</w:t>
            </w:r>
          </w:p>
        </w:tc>
        <w:tc>
          <w:tcPr>
            <w:tcW w:type="dxa" w:w="6576"/>
            <w:shd w:val="clear" w:fill="F4F6F9"/>
          </w:tcPr>
          <w:p>
            <w:r>
              <w:rPr>
                <w:sz w:val="18"/>
              </w:rPr>
              <w:t>[FILL]</w:t>
            </w:r>
          </w:p>
        </w:tc>
      </w:tr>
    </w:tbl>
    <w:p/>
    <w:p>
      <w:r>
        <w:rPr>
          <w:i/>
          <w:color w:val="7A7A7A"/>
          <w:sz w:val="16"/>
        </w:rPr>
        <w:t>Not yet issued through the Common Data Environment. Uncontrolled when printed.</w:t>
      </w:r>
    </w:p>
    <w:p>
      <w:r>
        <w:br w:type="page"/>
      </w:r>
    </w:p>
    <w:p>
      <w:pPr>
        <w:pBdr>
          <w:bottom w:val="single" w:sz="8" w:space="4" w:color="1F3654"/>
        </w:pBdr>
      </w:pPr>
      <w:r>
        <w:rPr>
          <w:rFonts w:ascii="Calibri" w:hAnsi="Calibri"/>
          <w:b/>
          <w:color w:val="1F3654"/>
          <w:sz w:val="32"/>
        </w:rP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r>
        <w:br w:type="page"/>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Symbion Consulting Group Studios</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(KUT-SMB-ZZ-ZZ-RP-Z-0002)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Mobilisation checklist</w:t>
            </w:r>
          </w:p>
        </w:tc>
      </w:tr>
      <w:tr>
        <w:tc>
          <w:tcPr>
            <w:tcW w:type="dxa" w:w="1474"/>
          </w:tcPr>
          <w:p>
            <w:pPr>
              <w:spacing w:after="40"/>
            </w:pPr>
            <w:r>
              <w:rPr>
                <w:sz w:val="18"/>
              </w:rPr>
            </w:r>
            <w:r>
              <w:rPr>
                <w:b w:val="0"/>
                <w:sz w:val="18"/>
              </w:rPr>
              <w:t>16</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Temple and ancillary buildings across 6 volumes; 6,597 m² gross internal area. Storeys per volume are given in the level and grid register</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701"/>
            <w:shd w:val="clear" w:fill="E8EDF3"/>
          </w:tcPr>
          <w:p>
            <w:r/>
            <w:r>
              <w:rPr>
                <w:b/>
                <w:color w:val="1F3654"/>
                <w:sz w:val="17"/>
              </w:rPr>
              <w:t>Volume code</w:t>
            </w:r>
          </w:p>
        </w:tc>
        <w:tc>
          <w:tcPr>
            <w:tcW w:type="dxa" w:w="3515"/>
            <w:shd w:val="clear" w:fill="E8EDF3"/>
          </w:tcPr>
          <w:p>
            <w:r/>
            <w:r>
              <w:rPr>
                <w:b/>
                <w:color w:val="1F3654"/>
                <w:sz w:val="17"/>
              </w:rPr>
              <w:t>Volume</w:t>
            </w:r>
          </w:p>
        </w:tc>
        <w:tc>
          <w:tcPr>
            <w:tcW w:type="dxa" w:w="1928"/>
            <w:shd w:val="clear" w:fill="E8EDF3"/>
          </w:tcPr>
          <w:p>
            <w:r/>
            <w:r>
              <w:rPr>
                <w:b/>
                <w:color w:val="1F3654"/>
                <w:sz w:val="17"/>
              </w:rPr>
              <w:t>Numbering value</w:t>
            </w:r>
          </w:p>
        </w:tc>
        <w:tc>
          <w:tcPr>
            <w:tcW w:type="dxa" w:w="2268"/>
            <w:shd w:val="clear" w:fill="E8EDF3"/>
          </w:tcPr>
          <w:p>
            <w:r/>
            <w:r>
              <w:rPr>
                <w:b/>
                <w:color w:val="1F3654"/>
                <w:sz w:val="17"/>
              </w:rPr>
              <w:t>Gross internal area</w:t>
            </w:r>
          </w:p>
        </w:tc>
      </w:tr>
      <w:tr>
        <w:tc>
          <w:tcPr>
            <w:tcW w:type="dxa" w:w="1701"/>
          </w:tcPr>
          <w:p>
            <w:pPr>
              <w:spacing w:after="40"/>
            </w:pPr>
            <w:r>
              <w:rPr>
                <w:sz w:val="17"/>
              </w:rPr>
            </w:r>
            <w:r>
              <w:rPr>
                <w:b w:val="0"/>
                <w:sz w:val="17"/>
              </w:rPr>
              <w:t>BLD1</w:t>
            </w:r>
          </w:p>
        </w:tc>
        <w:tc>
          <w:tcPr>
            <w:tcW w:type="dxa" w:w="3515"/>
          </w:tcPr>
          <w:p>
            <w:pPr>
              <w:spacing w:after="40"/>
            </w:pPr>
            <w:r>
              <w:rPr>
                <w:sz w:val="17"/>
              </w:rPr>
            </w:r>
            <w:r>
              <w:rPr>
                <w:b w:val="0"/>
                <w:sz w:val="17"/>
              </w:rPr>
              <w:t>Temple</w:t>
            </w:r>
          </w:p>
        </w:tc>
        <w:tc>
          <w:tcPr>
            <w:tcW w:type="dxa" w:w="1928"/>
          </w:tcPr>
          <w:p>
            <w:pPr>
              <w:spacing w:after="40"/>
            </w:pPr>
            <w:r>
              <w:rPr>
                <w:sz w:val="17"/>
              </w:rPr>
            </w:r>
            <w:r>
              <w:rPr>
                <w:b w:val="0"/>
                <w:sz w:val="17"/>
              </w:rPr>
              <w:t>01</w:t>
            </w:r>
          </w:p>
        </w:tc>
        <w:tc>
          <w:tcPr>
            <w:tcW w:type="dxa" w:w="2268"/>
          </w:tcPr>
          <w:p>
            <w:pPr>
              <w:spacing w:after="40"/>
            </w:pPr>
            <w:r>
              <w:rPr>
                <w:sz w:val="17"/>
              </w:rPr>
            </w:r>
            <w:r>
              <w:rPr>
                <w:b w:val="0"/>
                <w:sz w:val="17"/>
              </w:rPr>
              <w:t>2,449 m²</w:t>
            </w:r>
          </w:p>
        </w:tc>
      </w:tr>
      <w:tr>
        <w:tc>
          <w:tcPr>
            <w:tcW w:type="dxa" w:w="1701"/>
          </w:tcPr>
          <w:p>
            <w:pPr>
              <w:spacing w:after="40"/>
            </w:pPr>
            <w:r>
              <w:rPr>
                <w:sz w:val="17"/>
              </w:rPr>
            </w:r>
            <w:r>
              <w:rPr>
                <w:b w:val="0"/>
                <w:sz w:val="17"/>
              </w:rPr>
              <w:t>BLD2</w:t>
            </w:r>
          </w:p>
        </w:tc>
        <w:tc>
          <w:tcPr>
            <w:tcW w:type="dxa" w:w="3515"/>
          </w:tcPr>
          <w:p>
            <w:pPr>
              <w:spacing w:after="40"/>
            </w:pPr>
            <w:r>
              <w:rPr>
                <w:sz w:val="17"/>
              </w:rPr>
            </w:r>
            <w:r>
              <w:rPr>
                <w:b w:val="0"/>
                <w:sz w:val="17"/>
              </w:rPr>
              <w:t>Meetinghouse</w:t>
            </w:r>
          </w:p>
        </w:tc>
        <w:tc>
          <w:tcPr>
            <w:tcW w:type="dxa" w:w="1928"/>
          </w:tcPr>
          <w:p>
            <w:pPr>
              <w:spacing w:after="40"/>
            </w:pPr>
            <w:r>
              <w:rPr>
                <w:sz w:val="17"/>
              </w:rPr>
            </w:r>
            <w:r>
              <w:rPr>
                <w:b w:val="0"/>
                <w:sz w:val="17"/>
              </w:rPr>
              <w:t>02</w:t>
            </w:r>
          </w:p>
        </w:tc>
        <w:tc>
          <w:tcPr>
            <w:tcW w:type="dxa" w:w="2268"/>
          </w:tcPr>
          <w:p>
            <w:pPr>
              <w:spacing w:after="40"/>
            </w:pPr>
            <w:r>
              <w:rPr>
                <w:sz w:val="17"/>
              </w:rPr>
            </w:r>
            <w:r>
              <w:rPr>
                <w:b w:val="0"/>
                <w:sz w:val="17"/>
              </w:rPr>
              <w:t>1,312 m²</w:t>
            </w:r>
          </w:p>
        </w:tc>
      </w:tr>
      <w:tr>
        <w:tc>
          <w:tcPr>
            <w:tcW w:type="dxa" w:w="1701"/>
          </w:tcPr>
          <w:p>
            <w:pPr>
              <w:spacing w:after="40"/>
            </w:pPr>
            <w:r>
              <w:rPr>
                <w:sz w:val="17"/>
              </w:rPr>
            </w:r>
            <w:r>
              <w:rPr>
                <w:b w:val="0"/>
                <w:sz w:val="17"/>
              </w:rPr>
              <w:t>BLD3</w:t>
            </w:r>
          </w:p>
        </w:tc>
        <w:tc>
          <w:tcPr>
            <w:tcW w:type="dxa" w:w="3515"/>
          </w:tcPr>
          <w:p>
            <w:pPr>
              <w:spacing w:after="40"/>
            </w:pPr>
            <w:r>
              <w:rPr>
                <w:sz w:val="17"/>
              </w:rPr>
            </w:r>
            <w:r>
              <w:rPr>
                <w:b w:val="0"/>
                <w:sz w:val="17"/>
              </w:rPr>
              <w:t>Housing and ancillary</w:t>
            </w:r>
          </w:p>
        </w:tc>
        <w:tc>
          <w:tcPr>
            <w:tcW w:type="dxa" w:w="1928"/>
          </w:tcPr>
          <w:p>
            <w:pPr>
              <w:spacing w:after="40"/>
            </w:pPr>
            <w:r>
              <w:rPr>
                <w:sz w:val="17"/>
              </w:rPr>
            </w:r>
            <w:r>
              <w:rPr>
                <w:b w:val="0"/>
                <w:sz w:val="17"/>
              </w:rPr>
              <w:t>03</w:t>
            </w:r>
          </w:p>
        </w:tc>
        <w:tc>
          <w:tcPr>
            <w:tcW w:type="dxa" w:w="2268"/>
          </w:tcPr>
          <w:p>
            <w:pPr>
              <w:spacing w:after="40"/>
            </w:pPr>
            <w:r>
              <w:rPr>
                <w:sz w:val="17"/>
              </w:rPr>
            </w:r>
            <w:r>
              <w:rPr>
                <w:b w:val="0"/>
                <w:sz w:val="17"/>
              </w:rPr>
              <w:t>2,554 m²</w:t>
            </w:r>
          </w:p>
        </w:tc>
      </w:tr>
      <w:tr>
        <w:tc>
          <w:tcPr>
            <w:tcW w:type="dxa" w:w="1701"/>
          </w:tcPr>
          <w:p>
            <w:pPr>
              <w:spacing w:after="40"/>
            </w:pPr>
            <w:r>
              <w:rPr>
                <w:sz w:val="17"/>
              </w:rPr>
            </w:r>
            <w:r>
              <w:rPr>
                <w:b w:val="0"/>
                <w:sz w:val="17"/>
              </w:rPr>
              <w:t>BLD4</w:t>
            </w:r>
          </w:p>
        </w:tc>
        <w:tc>
          <w:tcPr>
            <w:tcW w:type="dxa" w:w="3515"/>
          </w:tcPr>
          <w:p>
            <w:pPr>
              <w:spacing w:after="40"/>
            </w:pPr>
            <w:r>
              <w:rPr>
                <w:sz w:val="17"/>
              </w:rPr>
            </w:r>
            <w:r>
              <w:rPr>
                <w:b w:val="0"/>
                <w:sz w:val="17"/>
              </w:rPr>
              <w:t>Grounds building</w:t>
            </w:r>
          </w:p>
        </w:tc>
        <w:tc>
          <w:tcPr>
            <w:tcW w:type="dxa" w:w="1928"/>
          </w:tcPr>
          <w:p>
            <w:pPr>
              <w:spacing w:after="40"/>
            </w:pPr>
            <w:r>
              <w:rPr>
                <w:sz w:val="17"/>
              </w:rPr>
            </w:r>
            <w:r>
              <w:rPr>
                <w:b w:val="0"/>
                <w:sz w:val="17"/>
              </w:rPr>
              <w:t>04</w:t>
            </w:r>
          </w:p>
        </w:tc>
        <w:tc>
          <w:tcPr>
            <w:tcW w:type="dxa" w:w="2268"/>
          </w:tcPr>
          <w:p>
            <w:pPr>
              <w:spacing w:after="40"/>
            </w:pPr>
            <w:r>
              <w:rPr>
                <w:sz w:val="17"/>
              </w:rPr>
            </w:r>
            <w:r>
              <w:rPr>
                <w:b w:val="0"/>
                <w:sz w:val="17"/>
              </w:rPr>
              <w:t>93 m²</w:t>
            </w:r>
          </w:p>
        </w:tc>
      </w:tr>
      <w:tr>
        <w:tc>
          <w:tcPr>
            <w:tcW w:type="dxa" w:w="1701"/>
          </w:tcPr>
          <w:p>
            <w:pPr>
              <w:spacing w:after="40"/>
            </w:pPr>
            <w:r>
              <w:rPr>
                <w:sz w:val="17"/>
              </w:rPr>
            </w:r>
            <w:r>
              <w:rPr>
                <w:b w:val="0"/>
                <w:sz w:val="17"/>
              </w:rPr>
              <w:t>BLD5</w:t>
            </w:r>
          </w:p>
        </w:tc>
        <w:tc>
          <w:tcPr>
            <w:tcW w:type="dxa" w:w="3515"/>
          </w:tcPr>
          <w:p>
            <w:pPr>
              <w:spacing w:after="40"/>
            </w:pPr>
            <w:r>
              <w:rPr>
                <w:sz w:val="17"/>
              </w:rPr>
            </w:r>
            <w:r>
              <w:rPr>
                <w:b w:val="0"/>
                <w:sz w:val="17"/>
              </w:rPr>
              <w:t>Utility building</w:t>
            </w:r>
          </w:p>
        </w:tc>
        <w:tc>
          <w:tcPr>
            <w:tcW w:type="dxa" w:w="1928"/>
          </w:tcPr>
          <w:p>
            <w:pPr>
              <w:spacing w:after="40"/>
            </w:pPr>
            <w:r>
              <w:rPr>
                <w:sz w:val="17"/>
              </w:rPr>
            </w:r>
            <w:r>
              <w:rPr>
                <w:b w:val="0"/>
                <w:sz w:val="17"/>
              </w:rPr>
              <w:t>05</w:t>
            </w:r>
          </w:p>
        </w:tc>
        <w:tc>
          <w:tcPr>
            <w:tcW w:type="dxa" w:w="2268"/>
          </w:tcPr>
          <w:p>
            <w:pPr>
              <w:spacing w:after="40"/>
            </w:pPr>
            <w:r>
              <w:rPr>
                <w:sz w:val="17"/>
              </w:rPr>
            </w:r>
            <w:r>
              <w:rPr>
                <w:b w:val="0"/>
                <w:sz w:val="17"/>
              </w:rPr>
              <w:t>166 m²</w:t>
            </w:r>
          </w:p>
        </w:tc>
      </w:tr>
      <w:tr>
        <w:tc>
          <w:tcPr>
            <w:tcW w:type="dxa" w:w="1701"/>
          </w:tcPr>
          <w:p>
            <w:pPr>
              <w:spacing w:after="40"/>
            </w:pPr>
            <w:r>
              <w:rPr>
                <w:sz w:val="17"/>
              </w:rPr>
            </w:r>
            <w:r>
              <w:rPr>
                <w:b w:val="0"/>
                <w:sz w:val="17"/>
              </w:rPr>
              <w:t>BLD6</w:t>
            </w:r>
          </w:p>
        </w:tc>
        <w:tc>
          <w:tcPr>
            <w:tcW w:type="dxa" w:w="3515"/>
          </w:tcPr>
          <w:p>
            <w:pPr>
              <w:spacing w:after="40"/>
            </w:pPr>
            <w:r>
              <w:rPr>
                <w:sz w:val="17"/>
              </w:rPr>
            </w:r>
            <w:r>
              <w:rPr>
                <w:b w:val="0"/>
                <w:sz w:val="17"/>
              </w:rPr>
              <w:t>Guard house</w:t>
            </w:r>
          </w:p>
        </w:tc>
        <w:tc>
          <w:tcPr>
            <w:tcW w:type="dxa" w:w="1928"/>
          </w:tcPr>
          <w:p>
            <w:pPr>
              <w:spacing w:after="40"/>
            </w:pPr>
            <w:r>
              <w:rPr>
                <w:sz w:val="17"/>
              </w:rPr>
            </w:r>
            <w:r>
              <w:rPr>
                <w:b w:val="0"/>
                <w:sz w:val="17"/>
              </w:rPr>
              <w:t>06</w:t>
            </w:r>
          </w:p>
        </w:tc>
        <w:tc>
          <w:tcPr>
            <w:tcW w:type="dxa" w:w="2268"/>
          </w:tcPr>
          <w:p>
            <w:pPr>
              <w:spacing w:after="40"/>
            </w:pPr>
            <w:r>
              <w:rPr>
                <w:sz w:val="17"/>
              </w:rPr>
            </w:r>
            <w:r>
              <w:rPr>
                <w:b w:val="0"/>
                <w:sz w:val="17"/>
              </w:rPr>
              <w:t>23 m²</w:t>
            </w:r>
          </w:p>
        </w:tc>
      </w:tr>
      <w:tr>
        <w:tc>
          <w:tcPr>
            <w:tcW w:type="dxa" w:w="1701"/>
          </w:tcPr>
          <w:p>
            <w:pPr>
              <w:spacing w:after="40"/>
            </w:pPr>
            <w:r>
              <w:rPr>
                <w:sz w:val="17"/>
              </w:rPr>
            </w:r>
            <w:r>
              <w:rPr>
                <w:b w:val="0"/>
                <w:sz w:val="17"/>
              </w:rPr>
              <w:t>EXT</w:t>
            </w:r>
          </w:p>
        </w:tc>
        <w:tc>
          <w:tcPr>
            <w:tcW w:type="dxa" w:w="3515"/>
          </w:tcPr>
          <w:p>
            <w:pPr>
              <w:spacing w:after="40"/>
            </w:pPr>
            <w:r>
              <w:rPr>
                <w:sz w:val="17"/>
              </w:rPr>
            </w:r>
            <w:r>
              <w:rPr>
                <w:b w:val="0"/>
                <w:sz w:val="17"/>
              </w:rPr>
              <w:t>Site-wide and external works</w:t>
            </w:r>
          </w:p>
        </w:tc>
        <w:tc>
          <w:tcPr>
            <w:tcW w:type="dxa" w:w="1928"/>
          </w:tcPr>
          <w:p>
            <w:pPr>
              <w:spacing w:after="40"/>
            </w:pPr>
            <w:r>
              <w:rPr>
                <w:sz w:val="17"/>
              </w:rPr>
            </w:r>
            <w:r>
              <w:rPr>
                <w:b w:val="0"/>
                <w:sz w:val="17"/>
              </w:rPr>
              <w:t>00</w:t>
            </w:r>
          </w:p>
        </w:tc>
        <w:tc>
          <w:tcPr>
            <w:tcW w:type="dxa" w:w="2268"/>
          </w:tcPr>
          <w:p>
            <w:pPr>
              <w:spacing w:after="40"/>
            </w:pPr>
            <w:r>
              <w:rPr>
                <w:sz w:val="17"/>
              </w:rPr>
            </w:r>
            <w:r>
              <w:rPr>
                <w:b w:val="0"/>
                <w:sz w:val="17"/>
              </w:rPr>
              <w:t>—</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 by the quantity surveyor</w:t>
            </w:r>
          </w:p>
        </w:tc>
        <w:tc>
          <w:tcPr>
            <w:tcW w:type="dxa" w:w="3515"/>
          </w:tcPr>
          <w:p>
            <w:pPr>
              <w:spacing w:after="40"/>
            </w:pPr>
            <w:r>
              <w:rPr>
                <w:sz w:val="17"/>
              </w:rPr>
            </w:r>
            <w:r>
              <w:rPr>
                <w:b w:val="0"/>
                <w:sz w:val="17"/>
              </w:rPr>
              <w:t>Models structured and classified so quantities can be taken from them; exports provided on request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Information management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10.4</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r>
        <w:rPr>
          <w:b w:val="0"/>
          <w:i w:val="0"/>
        </w:rPr>
        <w:t>These govern how information is structured, named and exchanged. The standards that govern what the information must SAY — the technical and statutory codes the design is produced against — are set out in Sections 4.1.1 to 4.1.3.</w:t>
      </w:r>
    </w:p>
    <w:p>
      <w:pPr>
        <w:pStyle w:val="Heading3"/>
      </w:pPr>
      <w:r>
        <w:t>4.1.1  Standards hierarchy</w:t>
      </w:r>
    </w:p>
    <w:p>
      <w:r>
        <w:rPr>
          <w:b w:val="0"/>
          <w:i w:val="0"/>
        </w:rPr>
        <w:t>The project is procured to an Appointing Party standards package derived from United States practice and is constructed in Uganda under Ugandan law. Three layers of requirement therefore apply, and they are not of equal standing.</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Layer</w:t>
            </w:r>
          </w:p>
        </w:tc>
        <w:tc>
          <w:tcPr>
            <w:tcW w:type="dxa" w:w="5102"/>
            <w:shd w:val="clear" w:fill="E8EDF3"/>
          </w:tcPr>
          <w:p>
            <w:r/>
            <w:r>
              <w:rPr>
                <w:b/>
                <w:color w:val="1F3654"/>
                <w:sz w:val="17"/>
              </w:rPr>
              <w:t>Comprises</w:t>
            </w:r>
          </w:p>
        </w:tc>
        <w:tc>
          <w:tcPr>
            <w:tcW w:type="dxa" w:w="2608"/>
            <w:shd w:val="clear" w:fill="E8EDF3"/>
          </w:tcPr>
          <w:p>
            <w:r/>
            <w:r>
              <w:rPr>
                <w:b/>
                <w:color w:val="1F3654"/>
                <w:sz w:val="17"/>
              </w:rPr>
              <w:t>Standing</w:t>
            </w:r>
          </w:p>
        </w:tc>
      </w:tr>
      <w:tr>
        <w:tc>
          <w:tcPr>
            <w:tcW w:type="dxa" w:w="1701"/>
          </w:tcPr>
          <w:p>
            <w:pPr>
              <w:spacing w:after="40"/>
            </w:pPr>
            <w:r>
              <w:rPr>
                <w:sz w:val="17"/>
              </w:rPr>
            </w:r>
            <w:r>
              <w:rPr>
                <w:b w:val="0"/>
                <w:sz w:val="17"/>
              </w:rPr>
              <w:t>Statutory</w:t>
            </w:r>
          </w:p>
        </w:tc>
        <w:tc>
          <w:tcPr>
            <w:tcW w:type="dxa" w:w="5102"/>
          </w:tcPr>
          <w:p>
            <w:pPr>
              <w:spacing w:after="40"/>
            </w:pPr>
            <w:r>
              <w:rPr>
                <w:sz w:val="17"/>
              </w:rPr>
            </w:r>
            <w:r>
              <w:rPr>
                <w:b w:val="0"/>
                <w:sz w:val="17"/>
              </w:rPr>
              <w:t>Building Control Act 2013 and the National Building Code; UNBS and adopted EAS standards; Electricity Act and ERA regulations; Public Health Act; Occupational Safety and Health Act; NEMA requirements; KCCA planning and fire requirements [FILL — confirm the applicable list with the Lead Appointed Party]</w:t>
            </w:r>
          </w:p>
        </w:tc>
        <w:tc>
          <w:tcPr>
            <w:tcW w:type="dxa" w:w="2608"/>
          </w:tcPr>
          <w:p>
            <w:pPr>
              <w:spacing w:after="40"/>
            </w:pPr>
            <w:r>
              <w:rPr>
                <w:sz w:val="17"/>
              </w:rPr>
            </w:r>
            <w:r>
              <w:rPr>
                <w:b/>
                <w:sz w:val="17"/>
              </w:rPr>
              <w:t>Legal floor. Cannot be waived by contract or by agreement</w:t>
            </w:r>
          </w:p>
        </w:tc>
      </w:tr>
      <w:tr>
        <w:tc>
          <w:tcPr>
            <w:tcW w:type="dxa" w:w="1701"/>
          </w:tcPr>
          <w:p>
            <w:pPr>
              <w:spacing w:after="40"/>
            </w:pPr>
            <w:r>
              <w:rPr>
                <w:sz w:val="17"/>
              </w:rPr>
            </w:r>
            <w:r>
              <w:rPr>
                <w:b w:val="0"/>
                <w:sz w:val="17"/>
              </w:rPr>
              <w:t>Appointing Party</w:t>
            </w:r>
          </w:p>
        </w:tc>
        <w:tc>
          <w:tcPr>
            <w:tcW w:type="dxa" w:w="5102"/>
          </w:tcPr>
          <w:p>
            <w:pPr>
              <w:spacing w:after="40"/>
            </w:pPr>
            <w:r>
              <w:rPr>
                <w:sz w:val="17"/>
              </w:rPr>
            </w:r>
            <w:r>
              <w:rPr>
                <w:b w:val="0"/>
                <w:sz w:val="17"/>
              </w:rPr>
              <w:t>CSI MasterFormat; NFPA 13 and 72; ASHRAE 90.1 and 62.1; ADA / ANSI A117.1; AWI; and the Owner’s own design standards [FILL — confirm against the issued exchange information requirements]</w:t>
            </w:r>
          </w:p>
        </w:tc>
        <w:tc>
          <w:tcPr>
            <w:tcW w:type="dxa" w:w="2608"/>
          </w:tcPr>
          <w:p>
            <w:pPr>
              <w:spacing w:after="40"/>
            </w:pPr>
            <w:r>
              <w:rPr>
                <w:sz w:val="17"/>
              </w:rPr>
            </w:r>
            <w:r>
              <w:rPr>
                <w:b w:val="0"/>
                <w:sz w:val="17"/>
              </w:rPr>
              <w:t>Binding through the appointment</w:t>
            </w:r>
          </w:p>
        </w:tc>
      </w:tr>
      <w:tr>
        <w:tc>
          <w:tcPr>
            <w:tcW w:type="dxa" w:w="1701"/>
          </w:tcPr>
          <w:p>
            <w:pPr>
              <w:spacing w:after="40"/>
            </w:pPr>
            <w:r>
              <w:rPr>
                <w:sz w:val="17"/>
              </w:rPr>
            </w:r>
            <w:r>
              <w:rPr>
                <w:b w:val="0"/>
                <w:sz w:val="17"/>
              </w:rPr>
              <w:t>Design practice</w:t>
            </w:r>
          </w:p>
        </w:tc>
        <w:tc>
          <w:tcPr>
            <w:tcW w:type="dxa" w:w="5102"/>
          </w:tcPr>
          <w:p>
            <w:pPr>
              <w:spacing w:after="40"/>
            </w:pPr>
            <w:r>
              <w:rPr>
                <w:sz w:val="17"/>
              </w:rPr>
            </w:r>
            <w:r>
              <w:rPr>
                <w:b w:val="0"/>
                <w:sz w:val="17"/>
              </w:rPr>
              <w:t>BS, EN and IEC standards as normally applied by the appointed parties in Uganda</w:t>
            </w:r>
          </w:p>
        </w:tc>
        <w:tc>
          <w:tcPr>
            <w:tcW w:type="dxa" w:w="2608"/>
          </w:tcPr>
          <w:p>
            <w:pPr>
              <w:spacing w:after="40"/>
            </w:pPr>
            <w:r>
              <w:rPr>
                <w:sz w:val="17"/>
              </w:rPr>
            </w:r>
            <w:r>
              <w:rPr>
                <w:b w:val="0"/>
                <w:sz w:val="17"/>
              </w:rPr>
              <w:t>Applies where the layers above are silent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PRECEDENCE</w:t>
            </w:r>
          </w:p>
          <w:p>
            <w:r>
              <w:rPr>
                <w:b/>
                <w:sz w:val="19"/>
              </w:rPr>
              <w:t>The governing rule.</w:t>
            </w:r>
            <w:r>
              <w:rPr>
                <w:b w:val="0"/>
                <w:sz w:val="19"/>
              </w:rPr>
              <w:t xml:space="preserve"> Statutory requirements always apply. Where an Appointing Party standard is </w:t>
            </w:r>
            <w:r>
              <w:rPr>
                <w:b/>
                <w:sz w:val="19"/>
              </w:rPr>
              <w:t>stricter</w:t>
            </w:r>
            <w:r>
              <w:rPr>
                <w:b w:val="0"/>
                <w:sz w:val="19"/>
              </w:rPr>
              <w:t xml:space="preserve"> than the statutory requirement, the Appointing Party standard governs. Where the two </w:t>
            </w:r>
            <w:r>
              <w:rPr>
                <w:b/>
                <w:sz w:val="19"/>
              </w:rPr>
              <w:t>conflict</w:t>
            </w:r>
            <w:r>
              <w:rPr>
                <w:b w:val="0"/>
                <w:sz w:val="19"/>
              </w:rPr>
              <w:t xml:space="preserve"> rather than differ in strictness, the conflict is recorded in Section 4.1.3 and a written derogation is obtained from the Appointing Party before the affected information is produced. No appointed party resolves such a conflict privately.</w:t>
            </w:r>
          </w:p>
        </w:tc>
      </w:tr>
    </w:tbl>
    <w:p>
      <w:pPr>
        <w:spacing w:after="40"/>
      </w:pPr>
    </w:p>
    <w:p>
      <w:pPr>
        <w:pStyle w:val="Heading3"/>
      </w:pPr>
      <w:r>
        <w:t>4.1.2  Technical standards by discipline</w:t>
      </w:r>
    </w:p>
    <w:p>
      <w:r>
        <w:rPr>
          <w:b w:val="0"/>
          <w:i w:val="0"/>
        </w:rPr>
        <w:t>The standard each discipline designs to, and the standard against which the information is checked. Where a cell reads [CONFIRM] the reconciliation in Section 4.1.3 has not yet been closed and the discipline must not proceed to detailed calculation.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Discipline</w:t>
            </w:r>
          </w:p>
        </w:tc>
        <w:tc>
          <w:tcPr>
            <w:tcW w:type="dxa" w:w="2608"/>
            <w:shd w:val="clear" w:fill="E8EDF3"/>
          </w:tcPr>
          <w:p>
            <w:r/>
            <w:r>
              <w:rPr>
                <w:b/>
                <w:color w:val="1F3654"/>
                <w:sz w:val="16"/>
              </w:rPr>
              <w:t>Appointing Party expectation</w:t>
            </w:r>
          </w:p>
        </w:tc>
        <w:tc>
          <w:tcPr>
            <w:tcW w:type="dxa" w:w="3061"/>
            <w:shd w:val="clear" w:fill="E8EDF3"/>
          </w:tcPr>
          <w:p>
            <w:r/>
            <w:r>
              <w:rPr>
                <w:b/>
                <w:color w:val="1F3654"/>
                <w:sz w:val="16"/>
              </w:rPr>
              <w:t>Local / statutory position</w:t>
            </w:r>
          </w:p>
        </w:tc>
        <w:tc>
          <w:tcPr>
            <w:tcW w:type="dxa" w:w="2154"/>
            <w:shd w:val="clear" w:fill="E8EDF3"/>
          </w:tcPr>
          <w:p>
            <w:r/>
            <w:r>
              <w:rPr>
                <w:b/>
                <w:color w:val="1F3654"/>
                <w:sz w:val="16"/>
              </w:rPr>
              <w:t>Governs</w:t>
            </w:r>
          </w:p>
        </w:tc>
      </w:tr>
      <w:tr>
        <w:tc>
          <w:tcPr>
            <w:tcW w:type="dxa" w:w="1587"/>
          </w:tcPr>
          <w:p>
            <w:pPr>
              <w:spacing w:after="40"/>
            </w:pPr>
            <w:r>
              <w:rPr>
                <w:sz w:val="16"/>
              </w:rPr>
            </w:r>
            <w:r>
              <w:rPr>
                <w:b w:val="0"/>
                <w:sz w:val="16"/>
              </w:rPr>
              <w:t>Architecture</w:t>
            </w:r>
          </w:p>
        </w:tc>
        <w:tc>
          <w:tcPr>
            <w:tcW w:type="dxa" w:w="2608"/>
          </w:tcPr>
          <w:p>
            <w:pPr>
              <w:spacing w:after="40"/>
            </w:pPr>
            <w:r>
              <w:rPr>
                <w:sz w:val="16"/>
              </w:rPr>
            </w:r>
            <w:r>
              <w:rPr>
                <w:b w:val="0"/>
                <w:sz w:val="16"/>
              </w:rPr>
              <w:t>IBC-derived planning and life safety; AWI for architectural woodwork</w:t>
            </w:r>
          </w:p>
        </w:tc>
        <w:tc>
          <w:tcPr>
            <w:tcW w:type="dxa" w:w="3061"/>
          </w:tcPr>
          <w:p>
            <w:pPr>
              <w:spacing w:after="40"/>
            </w:pPr>
            <w:r>
              <w:rPr>
                <w:sz w:val="16"/>
              </w:rPr>
            </w:r>
            <w:r>
              <w:rPr>
                <w:b w:val="0"/>
                <w:sz w:val="16"/>
              </w:rPr>
              <w:t>National Building Code; KCCA planning</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Accessibility</w:t>
            </w:r>
          </w:p>
        </w:tc>
        <w:tc>
          <w:tcPr>
            <w:tcW w:type="dxa" w:w="2608"/>
          </w:tcPr>
          <w:p>
            <w:pPr>
              <w:spacing w:after="40"/>
            </w:pPr>
            <w:r>
              <w:rPr>
                <w:sz w:val="16"/>
              </w:rPr>
            </w:r>
            <w:r>
              <w:rPr>
                <w:b w:val="0"/>
                <w:sz w:val="16"/>
              </w:rPr>
              <w:t>ADA / ANSI A117.1</w:t>
            </w:r>
          </w:p>
        </w:tc>
        <w:tc>
          <w:tcPr>
            <w:tcW w:type="dxa" w:w="3061"/>
          </w:tcPr>
          <w:p>
            <w:pPr>
              <w:spacing w:after="40"/>
            </w:pPr>
            <w:r>
              <w:rPr>
                <w:sz w:val="16"/>
              </w:rPr>
            </w:r>
            <w:r>
              <w:rPr>
                <w:b w:val="0"/>
                <w:sz w:val="16"/>
              </w:rPr>
              <w:t>Persons with Disabilities Act; UNBS accessibility provisions</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Structural</w:t>
            </w:r>
          </w:p>
        </w:tc>
        <w:tc>
          <w:tcPr>
            <w:tcW w:type="dxa" w:w="2608"/>
          </w:tcPr>
          <w:p>
            <w:pPr>
              <w:spacing w:after="40"/>
            </w:pPr>
            <w:r>
              <w:rPr>
                <w:sz w:val="16"/>
              </w:rPr>
            </w:r>
            <w:r>
              <w:rPr>
                <w:b w:val="0"/>
                <w:sz w:val="16"/>
              </w:rPr>
              <w:t>ACI 318; ASCE 7</w:t>
            </w:r>
          </w:p>
        </w:tc>
        <w:tc>
          <w:tcPr>
            <w:tcW w:type="dxa" w:w="3061"/>
          </w:tcPr>
          <w:p>
            <w:pPr>
              <w:spacing w:after="40"/>
            </w:pPr>
            <w:r>
              <w:rPr>
                <w:sz w:val="16"/>
              </w:rPr>
            </w:r>
            <w:r>
              <w:rPr>
                <w:b w:val="0"/>
                <w:sz w:val="16"/>
              </w:rPr>
              <w:t xml:space="preserve">Eurocodes or BS as adopted; </w:t>
            </w:r>
            <w:r>
              <w:rPr>
                <w:b/>
                <w:sz w:val="16"/>
              </w:rPr>
              <w:t>Ugandan wind, seismic and soil values regardless of code</w:t>
            </w:r>
          </w:p>
        </w:tc>
        <w:tc>
          <w:tcPr>
            <w:tcW w:type="dxa" w:w="2154"/>
          </w:tcPr>
          <w:p>
            <w:pPr>
              <w:spacing w:after="40"/>
            </w:pPr>
            <w:r>
              <w:rPr>
                <w:sz w:val="16"/>
              </w:rPr>
            </w:r>
            <w:r>
              <w:rPr>
                <w:b w:val="0"/>
                <w:sz w:val="16"/>
              </w:rPr>
              <w:t>[CONFIRM] — but loading values are local without exception</w:t>
            </w:r>
          </w:p>
        </w:tc>
      </w:tr>
      <w:tr>
        <w:tc>
          <w:tcPr>
            <w:tcW w:type="dxa" w:w="1587"/>
          </w:tcPr>
          <w:p>
            <w:pPr>
              <w:spacing w:after="40"/>
            </w:pPr>
            <w:r>
              <w:rPr>
                <w:sz w:val="16"/>
              </w:rPr>
            </w:r>
            <w:r>
              <w:rPr>
                <w:b w:val="0"/>
                <w:sz w:val="16"/>
              </w:rPr>
              <w:t>Mechanical</w:t>
            </w:r>
          </w:p>
        </w:tc>
        <w:tc>
          <w:tcPr>
            <w:tcW w:type="dxa" w:w="2608"/>
          </w:tcPr>
          <w:p>
            <w:pPr>
              <w:spacing w:after="40"/>
            </w:pPr>
            <w:r>
              <w:rPr>
                <w:sz w:val="16"/>
              </w:rPr>
            </w:r>
            <w:r>
              <w:rPr>
                <w:b w:val="0"/>
                <w:sz w:val="16"/>
              </w:rPr>
              <w:t>ASHRAE 90.1 and 62.1</w:t>
            </w:r>
          </w:p>
        </w:tc>
        <w:tc>
          <w:tcPr>
            <w:tcW w:type="dxa" w:w="3061"/>
          </w:tcPr>
          <w:p>
            <w:pPr>
              <w:spacing w:after="40"/>
            </w:pPr>
            <w:r>
              <w:rPr>
                <w:sz w:val="16"/>
              </w:rPr>
            </w:r>
            <w:r>
              <w:rPr>
                <w:b w:val="0"/>
                <w:sz w:val="16"/>
              </w:rPr>
              <w:t>CIBSE and BS EN practice; National Building Code ventilation</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Electrical</w:t>
            </w:r>
          </w:p>
        </w:tc>
        <w:tc>
          <w:tcPr>
            <w:tcW w:type="dxa" w:w="2608"/>
          </w:tcPr>
          <w:p>
            <w:pPr>
              <w:spacing w:after="40"/>
            </w:pPr>
            <w:r>
              <w:rPr>
                <w:sz w:val="16"/>
              </w:rPr>
            </w:r>
            <w:r>
              <w:rPr>
                <w:b w:val="0"/>
                <w:sz w:val="16"/>
              </w:rPr>
              <w:t>NEC-derived calculation and protection</w:t>
            </w:r>
          </w:p>
        </w:tc>
        <w:tc>
          <w:tcPr>
            <w:tcW w:type="dxa" w:w="3061"/>
          </w:tcPr>
          <w:p>
            <w:pPr>
              <w:spacing w:after="40"/>
            </w:pPr>
            <w:r>
              <w:rPr>
                <w:sz w:val="16"/>
              </w:rPr>
            </w:r>
            <w:r>
              <w:rPr>
                <w:b/>
                <w:sz w:val="16"/>
              </w:rPr>
              <w:t>240 V single / 415 V three-phase, 50 Hz, BS 7671 / IEC 60364, BS 1363 accessories</w:t>
            </w:r>
          </w:p>
        </w:tc>
        <w:tc>
          <w:tcPr>
            <w:tcW w:type="dxa" w:w="2154"/>
          </w:tcPr>
          <w:p>
            <w:pPr>
              <w:spacing w:after="40"/>
            </w:pPr>
            <w:r>
              <w:rPr>
                <w:sz w:val="16"/>
              </w:rPr>
            </w:r>
            <w:r>
              <w:rPr>
                <w:b/>
                <w:sz w:val="16"/>
              </w:rPr>
              <w:t>Local governs</w:t>
            </w:r>
            <w:r>
              <w:rPr>
                <w:b w:val="0"/>
                <w:sz w:val="16"/>
              </w:rPr>
              <w:t xml:space="preserve"> — see the note below</w:t>
            </w:r>
          </w:p>
        </w:tc>
      </w:tr>
      <w:tr>
        <w:tc>
          <w:tcPr>
            <w:tcW w:type="dxa" w:w="1587"/>
          </w:tcPr>
          <w:p>
            <w:pPr>
              <w:spacing w:after="40"/>
            </w:pPr>
            <w:r>
              <w:rPr>
                <w:sz w:val="16"/>
              </w:rPr>
            </w:r>
            <w:r>
              <w:rPr>
                <w:b w:val="0"/>
                <w:sz w:val="16"/>
              </w:rPr>
              <w:t>Public health</w:t>
            </w:r>
          </w:p>
        </w:tc>
        <w:tc>
          <w:tcPr>
            <w:tcW w:type="dxa" w:w="2608"/>
          </w:tcPr>
          <w:p>
            <w:pPr>
              <w:spacing w:after="40"/>
            </w:pPr>
            <w:r>
              <w:rPr>
                <w:sz w:val="16"/>
              </w:rPr>
            </w:r>
            <w:r>
              <w:rPr>
                <w:b w:val="0"/>
                <w:sz w:val="16"/>
              </w:rPr>
              <w:t>IPC / UPC fixture-unit method</w:t>
            </w:r>
          </w:p>
        </w:tc>
        <w:tc>
          <w:tcPr>
            <w:tcW w:type="dxa" w:w="3061"/>
          </w:tcPr>
          <w:p>
            <w:pPr>
              <w:spacing w:after="40"/>
            </w:pPr>
            <w:r>
              <w:rPr>
                <w:sz w:val="16"/>
              </w:rPr>
            </w:r>
            <w:r>
              <w:rPr>
                <w:b w:val="0"/>
                <w:sz w:val="16"/>
              </w:rPr>
              <w:t>BS EN 12056 and BS 8558; National Building Code drainage</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Fire protection</w:t>
            </w:r>
          </w:p>
        </w:tc>
        <w:tc>
          <w:tcPr>
            <w:tcW w:type="dxa" w:w="2608"/>
          </w:tcPr>
          <w:p>
            <w:pPr>
              <w:spacing w:after="40"/>
            </w:pPr>
            <w:r>
              <w:rPr>
                <w:sz w:val="16"/>
              </w:rPr>
            </w:r>
            <w:r>
              <w:rPr>
                <w:b w:val="0"/>
                <w:sz w:val="16"/>
              </w:rPr>
              <w:t>NFPA 13 (suppression) and NFPA 72 (detection and alarm)</w:t>
            </w:r>
          </w:p>
        </w:tc>
        <w:tc>
          <w:tcPr>
            <w:tcW w:type="dxa" w:w="3061"/>
          </w:tcPr>
          <w:p>
            <w:pPr>
              <w:spacing w:after="40"/>
            </w:pPr>
            <w:r>
              <w:rPr>
                <w:sz w:val="16"/>
              </w:rPr>
            </w:r>
            <w:r>
              <w:rPr>
                <w:b w:val="0"/>
                <w:sz w:val="16"/>
              </w:rPr>
              <w:t>National Building Code fire provisions; KCCA fire approval</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Energy</w:t>
            </w:r>
          </w:p>
        </w:tc>
        <w:tc>
          <w:tcPr>
            <w:tcW w:type="dxa" w:w="2608"/>
          </w:tcPr>
          <w:p>
            <w:pPr>
              <w:spacing w:after="40"/>
            </w:pPr>
            <w:r>
              <w:rPr>
                <w:sz w:val="16"/>
              </w:rPr>
            </w:r>
            <w:r>
              <w:rPr>
                <w:b w:val="0"/>
                <w:sz w:val="16"/>
              </w:rPr>
              <w:t>ASHRAE 90.1 with ComCheck evidence</w:t>
            </w:r>
          </w:p>
        </w:tc>
        <w:tc>
          <w:tcPr>
            <w:tcW w:type="dxa" w:w="3061"/>
          </w:tcPr>
          <w:p>
            <w:pPr>
              <w:spacing w:after="40"/>
            </w:pPr>
            <w:r>
              <w:rPr>
                <w:sz w:val="16"/>
              </w:rPr>
            </w:r>
            <w:r>
              <w:rPr>
                <w:b w:val="0"/>
                <w:sz w:val="16"/>
              </w:rPr>
              <w:t>No directly equivalent local mandate</w:t>
            </w:r>
          </w:p>
        </w:tc>
        <w:tc>
          <w:tcPr>
            <w:tcW w:type="dxa" w:w="2154"/>
          </w:tcPr>
          <w:p>
            <w:pPr>
              <w:spacing w:after="40"/>
            </w:pPr>
            <w:r>
              <w:rPr>
                <w:sz w:val="16"/>
              </w:rPr>
            </w:r>
            <w:r>
              <w:rPr>
                <w:b w:val="0"/>
                <w:sz w:val="16"/>
              </w:rPr>
              <w:t>Appointing Party</w:t>
            </w:r>
          </w:p>
        </w:tc>
      </w:tr>
      <w:tr>
        <w:tc>
          <w:tcPr>
            <w:tcW w:type="dxa" w:w="1587"/>
          </w:tcPr>
          <w:p>
            <w:pPr>
              <w:spacing w:after="40"/>
            </w:pPr>
            <w:r>
              <w:rPr>
                <w:sz w:val="16"/>
              </w:rPr>
            </w:r>
            <w:r>
              <w:rPr>
                <w:b w:val="0"/>
                <w:sz w:val="16"/>
              </w:rPr>
              <w:t>Units</w:t>
            </w:r>
          </w:p>
        </w:tc>
        <w:tc>
          <w:tcPr>
            <w:tcW w:type="dxa" w:w="2608"/>
          </w:tcPr>
          <w:p>
            <w:pPr>
              <w:spacing w:after="40"/>
            </w:pPr>
            <w:r>
              <w:rPr>
                <w:sz w:val="16"/>
              </w:rPr>
            </w:r>
            <w:r>
              <w:rPr>
                <w:b w:val="0"/>
                <w:sz w:val="16"/>
              </w:rPr>
              <w:t>Imperial-derived dimensions in source standards</w:t>
            </w:r>
          </w:p>
        </w:tc>
        <w:tc>
          <w:tcPr>
            <w:tcW w:type="dxa" w:w="3061"/>
          </w:tcPr>
          <w:p>
            <w:pPr>
              <w:spacing w:after="40"/>
            </w:pPr>
            <w:r>
              <w:rPr>
                <w:sz w:val="16"/>
              </w:rPr>
            </w:r>
            <w:r>
              <w:rPr>
                <w:b w:val="0"/>
                <w:sz w:val="16"/>
              </w:rPr>
              <w:t>Metric (millimetres) throughout</w:t>
            </w:r>
          </w:p>
        </w:tc>
        <w:tc>
          <w:tcPr>
            <w:tcW w:type="dxa" w:w="2154"/>
          </w:tcPr>
          <w:p>
            <w:pPr>
              <w:spacing w:after="40"/>
            </w:pPr>
            <w:r>
              <w:rPr>
                <w:sz w:val="16"/>
              </w:rPr>
            </w:r>
            <w:r>
              <w:rPr>
                <w:b/>
                <w:sz w:val="16"/>
              </w:rPr>
              <w:t>Metric, without exception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ELECTRICAL SUPPLY AND PROTECTION</w:t>
            </w:r>
          </w:p>
          <w:p>
            <w:r>
              <w:rPr>
                <w:b/>
                <w:sz w:val="19"/>
              </w:rPr>
              <w:t>Electrical is the one that cannot be transferred.</w:t>
            </w:r>
            <w:r>
              <w:rPr>
                <w:b w:val="0"/>
                <w:sz w:val="19"/>
              </w:rPr>
              <w:t xml:space="preserve"> Uganda operates at 240 V single phase, 415 V three phase, 50 Hz, with BS 7671 / IEC 60364 protection philosophy and BS 1363 accessories. NEC assumes 120/208 V at 60 Hz with AWG conductors and a different protection basis. Conductor sizing, protective device selection and earthing arrangement do not convert between the two, and equipment is procured to the local supply. The electrical design is produced to the local standard; the Appointing Party standard is satisfied where it is stricter and does not conflict.</w:t>
            </w:r>
          </w:p>
        </w:tc>
      </w:tr>
    </w:tbl>
    <w:p>
      <w:pPr>
        <w:spacing w:after="40"/>
      </w:pPr>
    </w:p>
    <w:p>
      <w:pPr>
        <w:pStyle w:val="Heading3"/>
      </w:pPr>
      <w:r>
        <w:t>4.1.3  Standards reconciliation schedule</w:t>
      </w:r>
    </w:p>
    <w:p>
      <w:r>
        <w:rPr>
          <w:b w:val="0"/>
          <w:i w:val="0"/>
        </w:rPr>
        <w:t>One row per topic where the layers in Section 4.1.1 differ. This schedule is opened at mobilisation, closed before Technical Design begins, and reissued with this plan whenever a row changes. An open row is a live risk: it means two appointed parties may be designing to different bases.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6"/>
              </w:rPr>
              <w:t>#</w:t>
            </w:r>
          </w:p>
        </w:tc>
        <w:tc>
          <w:tcPr>
            <w:tcW w:type="dxa" w:w="2268"/>
            <w:shd w:val="clear" w:fill="E8EDF3"/>
          </w:tcPr>
          <w:p>
            <w:r/>
            <w:r>
              <w:rPr>
                <w:b/>
                <w:color w:val="1F3654"/>
                <w:sz w:val="16"/>
              </w:rPr>
              <w:t>Topic</w:t>
            </w:r>
          </w:p>
        </w:tc>
        <w:tc>
          <w:tcPr>
            <w:tcW w:type="dxa" w:w="3175"/>
            <w:shd w:val="clear" w:fill="E8EDF3"/>
          </w:tcPr>
          <w:p>
            <w:r/>
            <w:r>
              <w:rPr>
                <w:b/>
                <w:color w:val="1F3654"/>
                <w:sz w:val="16"/>
              </w:rPr>
              <w:t>Difference to resolve</w:t>
            </w:r>
          </w:p>
        </w:tc>
        <w:tc>
          <w:tcPr>
            <w:tcW w:type="dxa" w:w="1928"/>
            <w:shd w:val="clear" w:fill="E8EDF3"/>
          </w:tcPr>
          <w:p>
            <w:r/>
            <w:r>
              <w:rPr>
                <w:b/>
                <w:color w:val="1F3654"/>
                <w:sz w:val="16"/>
              </w:rPr>
              <w:t>Resolution</w:t>
            </w:r>
          </w:p>
        </w:tc>
        <w:tc>
          <w:tcPr>
            <w:tcW w:type="dxa" w:w="1247"/>
            <w:shd w:val="clear" w:fill="E8EDF3"/>
          </w:tcPr>
          <w:p>
            <w:r/>
            <w:r>
              <w:rPr>
                <w:b/>
                <w:color w:val="1F3654"/>
                <w:sz w:val="16"/>
              </w:rPr>
              <w:t>Approved by / date</w:t>
            </w:r>
          </w:p>
        </w:tc>
      </w:tr>
      <w:tr>
        <w:tc>
          <w:tcPr>
            <w:tcW w:type="dxa" w:w="794"/>
          </w:tcPr>
          <w:p>
            <w:pPr>
              <w:spacing w:after="40"/>
            </w:pPr>
            <w:r>
              <w:rPr>
                <w:sz w:val="16"/>
              </w:rPr>
            </w:r>
            <w:r>
              <w:rPr>
                <w:b w:val="0"/>
                <w:sz w:val="16"/>
              </w:rPr>
              <w:t>SR-01</w:t>
            </w:r>
          </w:p>
        </w:tc>
        <w:tc>
          <w:tcPr>
            <w:tcW w:type="dxa" w:w="2268"/>
          </w:tcPr>
          <w:p>
            <w:pPr>
              <w:spacing w:after="40"/>
            </w:pPr>
            <w:r>
              <w:rPr>
                <w:sz w:val="16"/>
              </w:rPr>
            </w:r>
            <w:r>
              <w:rPr>
                <w:b w:val="0"/>
                <w:sz w:val="16"/>
              </w:rPr>
              <w:t>Electrical supply, protection and accessories</w:t>
            </w:r>
          </w:p>
        </w:tc>
        <w:tc>
          <w:tcPr>
            <w:tcW w:type="dxa" w:w="3175"/>
          </w:tcPr>
          <w:p>
            <w:pPr>
              <w:spacing w:after="40"/>
            </w:pPr>
            <w:r>
              <w:rPr>
                <w:sz w:val="16"/>
              </w:rPr>
            </w:r>
            <w:r>
              <w:rPr>
                <w:b w:val="0"/>
                <w:sz w:val="16"/>
              </w:rPr>
              <w:t>NEC basis versus 240/415 V 50 Hz BS 7671 practice</w:t>
            </w:r>
          </w:p>
        </w:tc>
        <w:tc>
          <w:tcPr>
            <w:tcW w:type="dxa" w:w="1928"/>
          </w:tcPr>
          <w:p>
            <w:pPr>
              <w:spacing w:after="40"/>
            </w:pPr>
            <w:r>
              <w:rPr>
                <w:sz w:val="16"/>
              </w:rPr>
            </w:r>
            <w:r>
              <w:rPr>
                <w:b w:val="0"/>
                <w:sz w:val="16"/>
              </w:rPr>
              <w:t>Local governs (Section 4.1.2)</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SR-02</w:t>
            </w:r>
          </w:p>
        </w:tc>
        <w:tc>
          <w:tcPr>
            <w:tcW w:type="dxa" w:w="2268"/>
          </w:tcPr>
          <w:p>
            <w:pPr>
              <w:spacing w:after="40"/>
            </w:pPr>
            <w:r>
              <w:rPr>
                <w:sz w:val="16"/>
              </w:rPr>
            </w:r>
            <w:r>
              <w:rPr>
                <w:b w:val="0"/>
                <w:sz w:val="16"/>
              </w:rPr>
              <w:t>Fire suppression design density and hydrant provision</w:t>
            </w:r>
          </w:p>
        </w:tc>
        <w:tc>
          <w:tcPr>
            <w:tcW w:type="dxa" w:w="3175"/>
          </w:tcPr>
          <w:p>
            <w:pPr>
              <w:spacing w:after="40"/>
            </w:pPr>
            <w:r>
              <w:rPr>
                <w:sz w:val="16"/>
              </w:rPr>
            </w:r>
            <w:r>
              <w:rPr>
                <w:b w:val="0"/>
                <w:sz w:val="16"/>
              </w:rPr>
              <w:t>NFPA 13 versus National Building Code provisions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SR-03</w:t>
            </w:r>
          </w:p>
        </w:tc>
        <w:tc>
          <w:tcPr>
            <w:tcW w:type="dxa" w:w="2268"/>
          </w:tcPr>
          <w:p>
            <w:pPr>
              <w:spacing w:after="40"/>
            </w:pPr>
            <w:r>
              <w:rPr>
                <w:sz w:val="16"/>
              </w:rPr>
            </w:r>
            <w:r>
              <w:rPr>
                <w:b w:val="0"/>
                <w:sz w:val="16"/>
              </w:rPr>
              <w:t>Fire detection zoning, audibility and cause and effect</w:t>
            </w:r>
          </w:p>
        </w:tc>
        <w:tc>
          <w:tcPr>
            <w:tcW w:type="dxa" w:w="3175"/>
          </w:tcPr>
          <w:p>
            <w:pPr>
              <w:spacing w:after="40"/>
            </w:pPr>
            <w:r>
              <w:rPr>
                <w:sz w:val="16"/>
              </w:rPr>
            </w:r>
            <w:r>
              <w:rPr>
                <w:b w:val="0"/>
                <w:sz w:val="16"/>
              </w:rPr>
              <w:t>NFPA 72 versus local practice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SR-04</w:t>
            </w:r>
          </w:p>
        </w:tc>
        <w:tc>
          <w:tcPr>
            <w:tcW w:type="dxa" w:w="2268"/>
          </w:tcPr>
          <w:p>
            <w:pPr>
              <w:spacing w:after="40"/>
            </w:pPr>
            <w:r>
              <w:rPr>
                <w:sz w:val="16"/>
              </w:rPr>
            </w:r>
            <w:r>
              <w:rPr>
                <w:b w:val="0"/>
                <w:sz w:val="16"/>
              </w:rPr>
              <w:t>Sanitary and rainwater drainage sizing method</w:t>
            </w:r>
          </w:p>
        </w:tc>
        <w:tc>
          <w:tcPr>
            <w:tcW w:type="dxa" w:w="3175"/>
          </w:tcPr>
          <w:p>
            <w:pPr>
              <w:spacing w:after="40"/>
            </w:pPr>
            <w:r>
              <w:rPr>
                <w:sz w:val="16"/>
              </w:rPr>
            </w:r>
            <w:r>
              <w:rPr>
                <w:b w:val="0"/>
                <w:sz w:val="16"/>
              </w:rPr>
              <w:t>IPC/UPC fixture units versus BS EN 12056 discharge units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SR-05</w:t>
            </w:r>
          </w:p>
        </w:tc>
        <w:tc>
          <w:tcPr>
            <w:tcW w:type="dxa" w:w="2268"/>
          </w:tcPr>
          <w:p>
            <w:pPr>
              <w:spacing w:after="40"/>
            </w:pPr>
            <w:r>
              <w:rPr>
                <w:sz w:val="16"/>
              </w:rPr>
            </w:r>
            <w:r>
              <w:rPr>
                <w:b w:val="0"/>
                <w:sz w:val="16"/>
              </w:rPr>
              <w:t>Accessibility dimensions and provision</w:t>
            </w:r>
          </w:p>
        </w:tc>
        <w:tc>
          <w:tcPr>
            <w:tcW w:type="dxa" w:w="3175"/>
          </w:tcPr>
          <w:p>
            <w:pPr>
              <w:spacing w:after="40"/>
            </w:pPr>
            <w:r>
              <w:rPr>
                <w:sz w:val="16"/>
              </w:rPr>
            </w:r>
            <w:r>
              <w:rPr>
                <w:b w:val="0"/>
                <w:sz w:val="16"/>
              </w:rPr>
              <w:t>ADA / ANSI A117.1 versus the Persons with Disabilities Act and UNBS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SR-06</w:t>
            </w:r>
          </w:p>
        </w:tc>
        <w:tc>
          <w:tcPr>
            <w:tcW w:type="dxa" w:w="2268"/>
          </w:tcPr>
          <w:p>
            <w:pPr>
              <w:spacing w:after="40"/>
            </w:pPr>
            <w:r>
              <w:rPr>
                <w:sz w:val="16"/>
              </w:rPr>
            </w:r>
            <w:r>
              <w:rPr>
                <w:b w:val="0"/>
                <w:sz w:val="16"/>
              </w:rPr>
              <w:t>Structural design code and loading</w:t>
            </w:r>
          </w:p>
        </w:tc>
        <w:tc>
          <w:tcPr>
            <w:tcW w:type="dxa" w:w="3175"/>
          </w:tcPr>
          <w:p>
            <w:pPr>
              <w:spacing w:after="40"/>
            </w:pPr>
            <w:r>
              <w:rPr>
                <w:sz w:val="16"/>
              </w:rPr>
            </w:r>
            <w:r>
              <w:rPr>
                <w:b w:val="0"/>
                <w:sz w:val="16"/>
              </w:rPr>
              <w:t>ACI 318 / ASCE 7 versus Eurocode or BS; loading values must be Ugandan</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SR-07</w:t>
            </w:r>
          </w:p>
        </w:tc>
        <w:tc>
          <w:tcPr>
            <w:tcW w:type="dxa" w:w="2268"/>
          </w:tcPr>
          <w:p>
            <w:pPr>
              <w:spacing w:after="40"/>
            </w:pPr>
            <w:r>
              <w:rPr>
                <w:sz w:val="16"/>
              </w:rPr>
            </w:r>
            <w:r>
              <w:rPr>
                <w:b w:val="0"/>
                <w:sz w:val="16"/>
              </w:rPr>
              <w:t>Ventilation rates and indoor air quality</w:t>
            </w:r>
          </w:p>
        </w:tc>
        <w:tc>
          <w:tcPr>
            <w:tcW w:type="dxa" w:w="3175"/>
          </w:tcPr>
          <w:p>
            <w:pPr>
              <w:spacing w:after="40"/>
            </w:pPr>
            <w:r>
              <w:rPr>
                <w:sz w:val="16"/>
              </w:rPr>
            </w:r>
            <w:r>
              <w:rPr>
                <w:b w:val="0"/>
                <w:sz w:val="16"/>
              </w:rPr>
              <w:t>ASHRAE 62.1 versus National Building Code and CIBSE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SR-08</w:t>
            </w:r>
          </w:p>
        </w:tc>
        <w:tc>
          <w:tcPr>
            <w:tcW w:type="dxa" w:w="2268"/>
          </w:tcPr>
          <w:p>
            <w:pPr>
              <w:spacing w:after="40"/>
            </w:pPr>
            <w:r>
              <w:rPr>
                <w:sz w:val="16"/>
              </w:rPr>
            </w:r>
            <w:r>
              <w:rPr>
                <w:b w:val="0"/>
                <w:sz w:val="16"/>
              </w:rPr>
              <w:t>Energy performance and evidence</w:t>
            </w:r>
          </w:p>
        </w:tc>
        <w:tc>
          <w:tcPr>
            <w:tcW w:type="dxa" w:w="3175"/>
          </w:tcPr>
          <w:p>
            <w:pPr>
              <w:spacing w:after="40"/>
            </w:pPr>
            <w:r>
              <w:rPr>
                <w:sz w:val="16"/>
              </w:rPr>
            </w:r>
            <w:r>
              <w:rPr>
                <w:b w:val="0"/>
                <w:sz w:val="16"/>
              </w:rPr>
              <w:t>ASHRAE 90.1 with ComCheck; no local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SR-09</w:t>
            </w:r>
          </w:p>
        </w:tc>
        <w:tc>
          <w:tcPr>
            <w:tcW w:type="dxa" w:w="2268"/>
          </w:tcPr>
          <w:p>
            <w:pPr>
              <w:spacing w:after="40"/>
            </w:pPr>
            <w:r>
              <w:rPr>
                <w:sz w:val="16"/>
              </w:rPr>
            </w:r>
            <w:r>
              <w:rPr>
                <w:b w:val="0"/>
                <w:sz w:val="16"/>
              </w:rPr>
              <w:t>Units and product sizing</w:t>
            </w:r>
          </w:p>
        </w:tc>
        <w:tc>
          <w:tcPr>
            <w:tcW w:type="dxa" w:w="3175"/>
          </w:tcPr>
          <w:p>
            <w:pPr>
              <w:spacing w:after="40"/>
            </w:pPr>
            <w:r>
              <w:rPr>
                <w:sz w:val="16"/>
              </w:rPr>
            </w:r>
            <w:r>
              <w:rPr>
                <w:b w:val="0"/>
                <w:sz w:val="16"/>
              </w:rPr>
              <w:t>Imperial-derived sizes versus metric procurement; hard versus soft metric</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SR-10</w:t>
            </w:r>
          </w:p>
        </w:tc>
        <w:tc>
          <w:tcPr>
            <w:tcW w:type="dxa" w:w="2268"/>
          </w:tcPr>
          <w:p>
            <w:pPr>
              <w:spacing w:after="40"/>
            </w:pPr>
            <w:r>
              <w:rPr>
                <w:sz w:val="16"/>
              </w:rPr>
            </w:r>
            <w:r>
              <w:rPr>
                <w:b w:val="0"/>
                <w:sz w:val="16"/>
              </w:rPr>
              <w:t>Product equivalence and substitution</w:t>
            </w:r>
          </w:p>
        </w:tc>
        <w:tc>
          <w:tcPr>
            <w:tcW w:type="dxa" w:w="3175"/>
          </w:tcPr>
          <w:p>
            <w:pPr>
              <w:spacing w:after="40"/>
            </w:pPr>
            <w:r>
              <w:rPr>
                <w:sz w:val="16"/>
              </w:rPr>
            </w:r>
            <w:r>
              <w:rPr>
                <w:b w:val="0"/>
                <w:sz w:val="16"/>
              </w:rPr>
              <w:t>Specified US products that are not procurable in Uganda; the approval route for an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SR-11</w:t>
            </w:r>
          </w:p>
        </w:tc>
        <w:tc>
          <w:tcPr>
            <w:tcW w:type="dxa" w:w="2268"/>
          </w:tcPr>
          <w:p>
            <w:pPr>
              <w:spacing w:after="40"/>
            </w:pPr>
            <w:r>
              <w:rPr>
                <w:sz w:val="16"/>
              </w:rPr>
            </w:r>
            <w:r>
              <w:rPr>
                <w:b w:val="0"/>
                <w:sz w:val="16"/>
              </w:rPr>
              <w:t>Lightning protection</w:t>
            </w:r>
          </w:p>
        </w:tc>
        <w:tc>
          <w:tcPr>
            <w:tcW w:type="dxa" w:w="3175"/>
          </w:tcPr>
          <w:p>
            <w:pPr>
              <w:spacing w:after="40"/>
            </w:pPr>
            <w:r>
              <w:rPr>
                <w:sz w:val="16"/>
              </w:rPr>
            </w:r>
            <w:r>
              <w:rPr>
                <w:b w:val="0"/>
                <w:sz w:val="16"/>
              </w:rPr>
              <w:t>[CONFIRM — NFPA 780 versus BS EN 62305]</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SR-12</w:t>
            </w:r>
          </w:p>
        </w:tc>
        <w:tc>
          <w:tcPr>
            <w:tcW w:type="dxa" w:w="2268"/>
          </w:tcPr>
          <w:p>
            <w:pPr>
              <w:spacing w:after="40"/>
            </w:pPr>
            <w:r>
              <w:rPr>
                <w:sz w:val="16"/>
              </w:rPr>
            </w:r>
            <w:r>
              <w:rPr>
                <w:b w:val="0"/>
                <w:sz w:val="16"/>
              </w:rPr>
              <w:t>[FILL — add rows as differences are identified]</w:t>
            </w:r>
          </w:p>
        </w:tc>
        <w:tc>
          <w:tcPr>
            <w:tcW w:type="dxa" w:w="3175"/>
          </w:tcPr>
          <w:p>
            <w:pPr>
              <w:spacing w:after="40"/>
            </w:pPr>
            <w:r>
              <w:rPr>
                <w:sz w:val="16"/>
              </w:rPr>
            </w:r>
          </w:p>
        </w:tc>
        <w:tc>
          <w:tcPr>
            <w:tcW w:type="dxa" w:w="1928"/>
          </w:tcPr>
          <w:p>
            <w:pPr>
              <w:spacing w:after="40"/>
            </w:pPr>
            <w:r>
              <w:rPr>
                <w:sz w:val="16"/>
              </w:rPr>
            </w:r>
          </w:p>
        </w:tc>
        <w:tc>
          <w:tcPr>
            <w:tcW w:type="dxa" w:w="1247"/>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WORKING POSITION WHILE A ROW IS OPEN</w:t>
            </w:r>
          </w:p>
          <w:p>
            <w:r>
              <w:rPr>
                <w:b w:val="0"/>
                <w:sz w:val="19"/>
              </w:rPr>
              <w:t xml:space="preserve">Until a row is closed, the affected discipline works to the </w:t>
            </w:r>
            <w:r>
              <w:rPr>
                <w:b/>
                <w:sz w:val="19"/>
              </w:rPr>
              <w:t>statutory</w:t>
            </w:r>
            <w:r>
              <w:rPr>
                <w:b w:val="0"/>
                <w:sz w:val="19"/>
              </w:rPr>
              <w:t xml:space="preserve"> position, because that is the only layer that cannot be waived. Recording the row is what prevents each discipline resolving the same conflict differently and the difference surfacing at tender.</w:t>
            </w:r>
          </w:p>
        </w:tc>
      </w:tr>
    </w:tbl>
    <w:p>
      <w:pPr>
        <w:spacing w:after="40"/>
      </w:pPr>
    </w:p>
    <w:p>
      <w:pPr>
        <w:pStyle w:val="Heading2"/>
      </w:pPr>
      <w:r>
        <w:t>4.2  Container naming convention</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CO, CP, CR, DR, IE, M2, M3, MI, PP, PR, RD, RI, RP, SH, SN, SP, SU, VS</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C, E, I, M, P, Q, S, W, X, Y.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register</w:t>
      </w:r>
    </w:p>
    <w:p>
      <w:r>
        <w:rPr>
          <w:b w:val="0"/>
          <w:i w:val="0"/>
        </w:rPr>
        <w:t>The originator identifies the ORGANISATION that produced the container, not the discipline. Discipline is carried separately in the role field. Where one organisation produces information for two disciplines, it uses one originator code and two role codes; where two organisations work in the same discipline, they use two originator codes. Coding originators by discipline is not permitted, because it duplicates the role field and fails the first time either case arises.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Organisation</w:t>
            </w:r>
          </w:p>
        </w:tc>
        <w:tc>
          <w:tcPr>
            <w:tcW w:type="dxa" w:w="1701"/>
            <w:shd w:val="clear" w:fill="E8EDF3"/>
          </w:tcPr>
          <w:p>
            <w:r/>
            <w:r>
              <w:rPr>
                <w:b/>
                <w:color w:val="1F3654"/>
                <w:sz w:val="17"/>
              </w:rPr>
              <w:t>Code</w:t>
            </w:r>
          </w:p>
        </w:tc>
        <w:tc>
          <w:tcPr>
            <w:tcW w:type="dxa" w:w="3742"/>
            <w:shd w:val="clear" w:fill="E8EDF3"/>
          </w:tcPr>
          <w:p>
            <w:r/>
            <w:r>
              <w:rPr>
                <w:b/>
                <w:color w:val="1F3654"/>
                <w:sz w:val="17"/>
              </w:rPr>
              <w:t>Status</w:t>
            </w:r>
          </w:p>
        </w:tc>
      </w:tr>
      <w:tr>
        <w:tc>
          <w:tcPr>
            <w:tcW w:type="dxa" w:w="3969"/>
          </w:tcPr>
          <w:p>
            <w:pPr>
              <w:spacing w:after="40"/>
            </w:pPr>
            <w:r>
              <w:rPr>
                <w:sz w:val="17"/>
              </w:rPr>
            </w:r>
            <w:r>
              <w:rPr>
                <w:b w:val="0"/>
                <w:sz w:val="17"/>
              </w:rPr>
              <w:t>Symbion Consulting Group Studios</w:t>
            </w:r>
          </w:p>
        </w:tc>
        <w:tc>
          <w:tcPr>
            <w:tcW w:type="dxa" w:w="1701"/>
          </w:tcPr>
          <w:p>
            <w:pPr>
              <w:spacing w:after="40"/>
            </w:pPr>
            <w:r>
              <w:rPr>
                <w:sz w:val="17"/>
              </w:rPr>
            </w:r>
            <w:r>
              <w:rPr>
                <w:b w:val="0"/>
                <w:sz w:val="17"/>
              </w:rPr>
              <w:t>SMB</w:t>
            </w:r>
          </w:p>
        </w:tc>
        <w:tc>
          <w:tcPr>
            <w:tcW w:type="dxa" w:w="3742"/>
          </w:tcPr>
          <w:p>
            <w:pPr>
              <w:spacing w:after="40"/>
            </w:pPr>
            <w:r>
              <w:rPr>
                <w:sz w:val="17"/>
              </w:rPr>
            </w:r>
            <w:r>
              <w:rPr>
                <w:b w:val="0"/>
                <w:sz w:val="17"/>
              </w:rPr>
              <w:t>Provisional — pending the register</w:t>
            </w:r>
          </w:p>
        </w:tc>
      </w:tr>
      <w:tr>
        <w:tc>
          <w:tcPr>
            <w:tcW w:type="dxa" w:w="3969"/>
          </w:tcPr>
          <w:p>
            <w:pPr>
              <w:spacing w:after="40"/>
            </w:pPr>
            <w:r>
              <w:rPr>
                <w:sz w:val="17"/>
              </w:rPr>
            </w:r>
            <w:r>
              <w:rPr>
                <w:b w:val="0"/>
                <w:sz w:val="17"/>
              </w:rPr>
              <w:t>Architecture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Interiors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Structural engineering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Mechanical, electrical and plumbing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Fire protection</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Low voltage and communications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Civil and site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Quantity surveying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Contractor</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now; allocate before Stage 3.1</w:t>
            </w:r>
          </w:p>
        </w:tc>
      </w:tr>
      <w:tr>
        <w:tc>
          <w:tcPr>
            <w:tcW w:type="dxa" w:w="3969"/>
          </w:tcPr>
          <w:p>
            <w:pPr>
              <w:spacing w:after="40"/>
            </w:pPr>
            <w:r>
              <w:rPr>
                <w:sz w:val="17"/>
              </w:rPr>
            </w:r>
            <w:r>
              <w:rPr>
                <w:b w:val="0"/>
                <w:sz w:val="17"/>
              </w:rPr>
              <w:t>Specialist subcontractors</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a block now</w:t>
            </w:r>
          </w:p>
        </w:tc>
      </w:tr>
      <w:tr>
        <w:tc>
          <w:tcPr>
            <w:tcW w:type="dxa" w:w="3969"/>
          </w:tcPr>
          <w:p>
            <w:pPr>
              <w:spacing w:after="40"/>
            </w:pPr>
            <w:r>
              <w:rPr>
                <w:sz w:val="17"/>
              </w:rPr>
            </w:r>
            <w:r>
              <w:rPr>
                <w:b w:val="0"/>
                <w:sz w:val="17"/>
              </w:rPr>
              <w:t>Not known or not applicable</w:t>
            </w:r>
          </w:p>
        </w:tc>
        <w:tc>
          <w:tcPr>
            <w:tcW w:type="dxa" w:w="1701"/>
          </w:tcPr>
          <w:p>
            <w:pPr>
              <w:spacing w:after="40"/>
            </w:pPr>
            <w:r>
              <w:rPr>
                <w:sz w:val="17"/>
              </w:rPr>
            </w:r>
            <w:r>
              <w:rPr>
                <w:b w:val="0"/>
                <w:sz w:val="17"/>
              </w:rPr>
              <w:t>ZZZ</w:t>
            </w:r>
          </w:p>
        </w:tc>
        <w:tc>
          <w:tcPr>
            <w:tcW w:type="dxa" w:w="3742"/>
          </w:tcPr>
          <w:p>
            <w:pPr>
              <w:spacing w:after="40"/>
            </w:pPr>
            <w:r>
              <w:rPr>
                <w:sz w:val="17"/>
              </w:rPr>
            </w:r>
            <w:r>
              <w:rPr>
                <w:b w:val="0"/>
                <w:sz w:val="17"/>
              </w:rPr>
              <w:t>Fixed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sz w:val="19"/>
              </w:rPr>
              <w:t>Open item.</w:t>
            </w:r>
            <w:r>
              <w:rPr>
                <w:b w:val="0"/>
                <w:sz w:val="19"/>
              </w:rPr>
              <w:t xml:space="preserve"> The register is issued by the Lead Appointed Party and is not yet received. The compliance check enforces exactly three characters; a register of three-letter organisation codes therefore needs no change to the rule. </w:t>
            </w:r>
            <w:r>
              <w:rPr>
                <w:b/>
                <w:sz w:val="19"/>
              </w:rPr>
              <w:t>No container is to be numbered until the register is issued</w:t>
            </w:r>
            <w:r>
              <w:rPr>
                <w:b w:val="0"/>
                <w:sz w:val="19"/>
              </w:rPr>
              <w:t>, because renumbering after Deliverable A affects every issued document. The register must also state who allocates a code to a party joining mid-project, and how.</w:t>
            </w:r>
          </w:p>
        </w:tc>
      </w:tr>
    </w:tbl>
    <w:p>
      <w:pPr>
        <w:spacing w:after="40"/>
      </w:pPr>
    </w:p>
    <w:p>
      <w:pPr>
        <w:pStyle w:val="Heading3"/>
      </w:pPr>
      <w:r>
        <w:t>4.2.2  The three identifiers</w:t>
      </w:r>
    </w:p>
    <w:p>
      <w:r>
        <w:rPr>
          <w:b w:val="0"/>
          <w:i w:val="0"/>
        </w:rPr>
        <w:t>Three different strings identify things on this project, and they are routinely confused because they share fields and look alike. They identify different objects, are allocated by different people at different times, and are not interchangeable.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474"/>
            <w:shd w:val="clear" w:fill="E8EDF3"/>
          </w:tcPr>
          <w:p>
            <w:r/>
            <w:r>
              <w:rPr>
                <w:b/>
                <w:color w:val="1F3654"/>
                <w:sz w:val="16"/>
              </w:rPr>
              <w:t>Identifier</w:t>
            </w:r>
          </w:p>
        </w:tc>
        <w:tc>
          <w:tcPr>
            <w:tcW w:type="dxa" w:w="2041"/>
            <w:shd w:val="clear" w:fill="E8EDF3"/>
          </w:tcPr>
          <w:p>
            <w:r/>
            <w:r>
              <w:rPr>
                <w:b/>
                <w:color w:val="1F3654"/>
                <w:sz w:val="16"/>
              </w:rPr>
              <w:t>Identifies</w:t>
            </w:r>
          </w:p>
        </w:tc>
        <w:tc>
          <w:tcPr>
            <w:tcW w:type="dxa" w:w="2494"/>
            <w:shd w:val="clear" w:fill="E8EDF3"/>
          </w:tcPr>
          <w:p>
            <w:r/>
            <w:r>
              <w:rPr>
                <w:b/>
                <w:color w:val="1F3654"/>
                <w:sz w:val="16"/>
              </w:rPr>
              <w:t>Form</w:t>
            </w:r>
          </w:p>
        </w:tc>
        <w:tc>
          <w:tcPr>
            <w:tcW w:type="dxa" w:w="1701"/>
            <w:shd w:val="clear" w:fill="E8EDF3"/>
          </w:tcPr>
          <w:p>
            <w:r/>
            <w:r>
              <w:rPr>
                <w:b/>
                <w:color w:val="1F3654"/>
                <w:sz w:val="16"/>
              </w:rPr>
              <w:t>Allocated by</w:t>
            </w:r>
          </w:p>
        </w:tc>
        <w:tc>
          <w:tcPr>
            <w:tcW w:type="dxa" w:w="1701"/>
            <w:shd w:val="clear" w:fill="E8EDF3"/>
          </w:tcPr>
          <w:p>
            <w:r/>
            <w:r>
              <w:rPr>
                <w:b/>
                <w:color w:val="1F3654"/>
                <w:sz w:val="16"/>
              </w:rPr>
              <w:t>Example</w:t>
            </w:r>
          </w:p>
        </w:tc>
      </w:tr>
      <w:tr>
        <w:tc>
          <w:tcPr>
            <w:tcW w:type="dxa" w:w="1474"/>
          </w:tcPr>
          <w:p>
            <w:pPr>
              <w:spacing w:after="40"/>
            </w:pPr>
            <w:r>
              <w:rPr>
                <w:sz w:val="16"/>
              </w:rPr>
            </w:r>
            <w:r>
              <w:rPr>
                <w:b w:val="0"/>
                <w:sz w:val="16"/>
              </w:rPr>
              <w:t>Container name</w:t>
            </w:r>
          </w:p>
        </w:tc>
        <w:tc>
          <w:tcPr>
            <w:tcW w:type="dxa" w:w="2041"/>
          </w:tcPr>
          <w:p>
            <w:pPr>
              <w:spacing w:after="40"/>
            </w:pPr>
            <w:r>
              <w:rPr>
                <w:sz w:val="16"/>
              </w:rPr>
            </w:r>
            <w:r>
              <w:rPr>
                <w:b w:val="0"/>
                <w:sz w:val="16"/>
              </w:rPr>
              <w:t>A file — a model, drawing, sheet, schedule, report or notice</w:t>
            </w:r>
          </w:p>
        </w:tc>
        <w:tc>
          <w:tcPr>
            <w:tcW w:type="dxa" w:w="2494"/>
          </w:tcPr>
          <w:p>
            <w:pPr>
              <w:spacing w:after="40"/>
            </w:pPr>
            <w:r>
              <w:rPr>
                <w:sz w:val="16"/>
              </w:rPr>
            </w:r>
            <w:r>
              <w:rPr>
                <w:b w:val="0"/>
                <w:sz w:val="16"/>
              </w:rPr>
              <w:t>Project-Originator-Volume-Level-Type-Role-Number (7 fields)</w:t>
            </w:r>
          </w:p>
        </w:tc>
        <w:tc>
          <w:tcPr>
            <w:tcW w:type="dxa" w:w="1701"/>
          </w:tcPr>
          <w:p>
            <w:pPr>
              <w:spacing w:after="40"/>
            </w:pPr>
            <w:r>
              <w:rPr>
                <w:sz w:val="16"/>
              </w:rPr>
            </w:r>
            <w:r>
              <w:rPr>
                <w:b w:val="0"/>
                <w:sz w:val="16"/>
              </w:rPr>
              <w:t>The originating party, from this convention</w:t>
            </w:r>
          </w:p>
        </w:tc>
        <w:tc>
          <w:tcPr>
            <w:tcW w:type="dxa" w:w="1701"/>
          </w:tcPr>
          <w:p>
            <w:pPr>
              <w:spacing w:after="40"/>
            </w:pPr>
            <w:r>
              <w:rPr>
                <w:sz w:val="16"/>
              </w:rPr>
            </w:r>
            <w:r>
              <w:rPr>
                <w:b w:val="0"/>
                <w:sz w:val="16"/>
              </w:rPr>
              <w:t>KUT-SMB-01-GF-M3-A-0001</w:t>
            </w:r>
          </w:p>
        </w:tc>
      </w:tr>
      <w:tr>
        <w:tc>
          <w:tcPr>
            <w:tcW w:type="dxa" w:w="1474"/>
          </w:tcPr>
          <w:p>
            <w:pPr>
              <w:spacing w:after="40"/>
            </w:pPr>
            <w:r>
              <w:rPr>
                <w:sz w:val="16"/>
              </w:rPr>
            </w:r>
            <w:r>
              <w:rPr>
                <w:b w:val="0"/>
                <w:sz w:val="16"/>
              </w:rPr>
              <w:t>Element tag</w:t>
            </w:r>
          </w:p>
        </w:tc>
        <w:tc>
          <w:tcPr>
            <w:tcW w:type="dxa" w:w="2041"/>
          </w:tcPr>
          <w:p>
            <w:pPr>
              <w:spacing w:after="40"/>
            </w:pPr>
            <w:r>
              <w:rPr>
                <w:sz w:val="16"/>
              </w:rPr>
            </w:r>
            <w:r>
              <w:rPr>
                <w:b w:val="0"/>
                <w:sz w:val="16"/>
              </w:rPr>
              <w:t>One modelled element, in the model and on a tag</w:t>
            </w:r>
          </w:p>
        </w:tc>
        <w:tc>
          <w:tcPr>
            <w:tcW w:type="dxa" w:w="2494"/>
          </w:tcPr>
          <w:p>
            <w:pPr>
              <w:spacing w:after="40"/>
            </w:pPr>
            <w:r>
              <w:rPr>
                <w:sz w:val="16"/>
              </w:rPr>
            </w:r>
            <w:r>
              <w:rPr>
                <w:b w:val="0"/>
                <w:sz w:val="16"/>
              </w:rPr>
              <w:t>Discipline-Location-Zone-Level-System-Function-Product-Sequence (8 fields)</w:t>
            </w:r>
          </w:p>
        </w:tc>
        <w:tc>
          <w:tcPr>
            <w:tcW w:type="dxa" w:w="1701"/>
          </w:tcPr>
          <w:p>
            <w:pPr>
              <w:spacing w:after="40"/>
            </w:pPr>
            <w:r>
              <w:rPr>
                <w:sz w:val="16"/>
              </w:rPr>
            </w:r>
            <w:r>
              <w:rPr>
                <w:b w:val="0"/>
                <w:sz w:val="16"/>
              </w:rPr>
              <w:t>Generated from the element and its position</w:t>
            </w:r>
          </w:p>
        </w:tc>
        <w:tc>
          <w:tcPr>
            <w:tcW w:type="dxa" w:w="1701"/>
          </w:tcPr>
          <w:p>
            <w:pPr>
              <w:spacing w:after="40"/>
            </w:pPr>
            <w:r>
              <w:rPr>
                <w:sz w:val="16"/>
              </w:rPr>
            </w:r>
            <w:r>
              <w:rPr>
                <w:b w:val="0"/>
                <w:sz w:val="16"/>
              </w:rPr>
              <w:t>M-BLD1-Z01-L02-HVAC-SUP-AHU-0003</w:t>
            </w:r>
          </w:p>
        </w:tc>
      </w:tr>
      <w:tr>
        <w:tc>
          <w:tcPr>
            <w:tcW w:type="dxa" w:w="1474"/>
          </w:tcPr>
          <w:p>
            <w:pPr>
              <w:spacing w:after="40"/>
            </w:pPr>
            <w:r>
              <w:rPr>
                <w:sz w:val="16"/>
              </w:rPr>
            </w:r>
            <w:r>
              <w:rPr>
                <w:b w:val="0"/>
                <w:sz w:val="16"/>
              </w:rPr>
              <w:t>Asset reference</w:t>
            </w:r>
          </w:p>
        </w:tc>
        <w:tc>
          <w:tcPr>
            <w:tcW w:type="dxa" w:w="2041"/>
          </w:tcPr>
          <w:p>
            <w:pPr>
              <w:spacing w:after="40"/>
            </w:pPr>
            <w:r>
              <w:rPr>
                <w:sz w:val="16"/>
              </w:rPr>
            </w:r>
            <w:r>
              <w:rPr>
                <w:b w:val="0"/>
                <w:sz w:val="16"/>
              </w:rPr>
              <w:t>One maintainable asset, in the asset register of the Appointing Party</w:t>
            </w:r>
          </w:p>
        </w:tc>
        <w:tc>
          <w:tcPr>
            <w:tcW w:type="dxa" w:w="2494"/>
          </w:tcPr>
          <w:p>
            <w:pPr>
              <w:spacing w:after="40"/>
            </w:pPr>
            <w:r>
              <w:rPr>
                <w:sz w:val="16"/>
              </w:rPr>
            </w:r>
            <w:r>
              <w:rPr>
                <w:b w:val="0"/>
                <w:sz w:val="16"/>
              </w:rPr>
              <w:t>The Appointing Party numbering convention</w:t>
            </w:r>
          </w:p>
        </w:tc>
        <w:tc>
          <w:tcPr>
            <w:tcW w:type="dxa" w:w="1701"/>
          </w:tcPr>
          <w:p>
            <w:pPr>
              <w:spacing w:after="40"/>
            </w:pPr>
            <w:r>
              <w:rPr>
                <w:sz w:val="16"/>
              </w:rPr>
            </w:r>
            <w:r>
              <w:rPr>
                <w:b w:val="0"/>
                <w:sz w:val="16"/>
              </w:rPr>
              <w:t>The Appointing Party, where one is issued</w:t>
            </w:r>
          </w:p>
        </w:tc>
        <w:tc>
          <w:tcPr>
            <w:tcW w:type="dxa" w:w="1701"/>
          </w:tcPr>
          <w:p>
            <w:pPr>
              <w:spacing w:after="40"/>
            </w:pPr>
            <w:r>
              <w:rPr>
                <w:sz w:val="16"/>
              </w:rPr>
            </w:r>
            <w:r>
              <w:rPr>
                <w:b w:val="0"/>
                <w:sz w:val="16"/>
              </w:rPr>
              <w:t>[FILL — on issue of the convention]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WHERE THE CONFUSION STARTS</w:t>
            </w:r>
          </w:p>
          <w:p>
            <w:r>
              <w:rPr>
                <w:b/>
                <w:sz w:val="19"/>
              </w:rPr>
              <w:t>The volume field is not the same value in the first two.</w:t>
            </w:r>
            <w:r>
              <w:rPr>
                <w:b w:val="0"/>
                <w:sz w:val="19"/>
              </w:rPr>
              <w:t xml:space="preserve"> A container name carries the numbering value (01); an element tag carries the location code (BLD1). Section 1.3 relates them. Likewise the container ROLE and the element DISCIPLINE are different fields with different code lists. The role is the discipline of the organisation that produced the file (Section 4.2.1); the element discipline says what the element is, from the list below, and is validated on every element. ISO 19650 defines the first and not the second. A role is never derived from the elements in a container, and there is no such thing as a Z element.</w:t>
            </w:r>
          </w:p>
        </w:tc>
      </w:tr>
    </w:tbl>
    <w:p>
      <w:pPr>
        <w:spacing w:after="40"/>
      </w:pP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Element discipline</w:t>
            </w:r>
          </w:p>
        </w:tc>
        <w:tc>
          <w:tcPr>
            <w:tcW w:type="dxa" w:w="5102"/>
            <w:shd w:val="clear" w:fill="E8EDF3"/>
          </w:tcPr>
          <w:p>
            <w:r/>
            <w:r>
              <w:rPr>
                <w:b/>
                <w:color w:val="1F3654"/>
                <w:sz w:val="16"/>
              </w:rPr>
              <w:t>Meaning</w:t>
            </w:r>
          </w:p>
        </w:tc>
        <w:tc>
          <w:tcPr>
            <w:tcW w:type="dxa" w:w="2494"/>
            <w:shd w:val="clear" w:fill="E8EDF3"/>
          </w:tcPr>
          <w:p>
            <w:r/>
            <w:r>
              <w:rPr>
                <w:b/>
                <w:color w:val="1F3654"/>
                <w:sz w:val="16"/>
              </w:rPr>
              <w:t>Normally issued under role</w:t>
            </w:r>
          </w:p>
        </w:tc>
      </w:tr>
      <w:tr>
        <w:tc>
          <w:tcPr>
            <w:tcW w:type="dxa" w:w="1814"/>
          </w:tcPr>
          <w:p>
            <w:pPr>
              <w:spacing w:after="40"/>
            </w:pPr>
            <w:r>
              <w:rPr>
                <w:sz w:val="16"/>
              </w:rPr>
            </w:r>
            <w:r>
              <w:rPr>
                <w:b w:val="0"/>
                <w:sz w:val="16"/>
              </w:rPr>
              <w:t>A</w:t>
            </w:r>
          </w:p>
        </w:tc>
        <w:tc>
          <w:tcPr>
            <w:tcW w:type="dxa" w:w="5102"/>
          </w:tcPr>
          <w:p>
            <w:pPr>
              <w:spacing w:after="40"/>
            </w:pPr>
            <w:r>
              <w:rPr>
                <w:sz w:val="16"/>
              </w:rPr>
            </w:r>
            <w:r>
              <w:rPr>
                <w:b w:val="0"/>
                <w:sz w:val="16"/>
              </w:rPr>
              <w:t>Architecture -- including interiors, FF&amp;E and finishes</w:t>
            </w:r>
          </w:p>
        </w:tc>
        <w:tc>
          <w:tcPr>
            <w:tcW w:type="dxa" w:w="2494"/>
          </w:tcPr>
          <w:p>
            <w:pPr>
              <w:spacing w:after="40"/>
            </w:pPr>
            <w:r>
              <w:rPr>
                <w:sz w:val="16"/>
              </w:rPr>
            </w:r>
            <w:r>
              <w:rPr>
                <w:b w:val="0"/>
                <w:sz w:val="16"/>
              </w:rPr>
              <w:t>A</w:t>
            </w:r>
          </w:p>
        </w:tc>
      </w:tr>
      <w:tr>
        <w:tc>
          <w:tcPr>
            <w:tcW w:type="dxa" w:w="1814"/>
          </w:tcPr>
          <w:p>
            <w:pPr>
              <w:spacing w:after="40"/>
            </w:pPr>
            <w:r>
              <w:rPr>
                <w:sz w:val="16"/>
              </w:rPr>
            </w:r>
            <w:r>
              <w:rPr>
                <w:b w:val="0"/>
                <w:sz w:val="16"/>
              </w:rPr>
              <w:t>S</w:t>
            </w:r>
          </w:p>
        </w:tc>
        <w:tc>
          <w:tcPr>
            <w:tcW w:type="dxa" w:w="5102"/>
          </w:tcPr>
          <w:p>
            <w:pPr>
              <w:spacing w:after="40"/>
            </w:pPr>
            <w:r>
              <w:rPr>
                <w:sz w:val="16"/>
              </w:rPr>
            </w:r>
            <w:r>
              <w:rPr>
                <w:b w:val="0"/>
                <w:sz w:val="16"/>
              </w:rPr>
              <w:t>Structure</w:t>
            </w:r>
          </w:p>
        </w:tc>
        <w:tc>
          <w:tcPr>
            <w:tcW w:type="dxa" w:w="2494"/>
          </w:tcPr>
          <w:p>
            <w:pPr>
              <w:spacing w:after="40"/>
            </w:pPr>
            <w:r>
              <w:rPr>
                <w:sz w:val="16"/>
              </w:rPr>
            </w:r>
            <w:r>
              <w:rPr>
                <w:b w:val="0"/>
                <w:sz w:val="16"/>
              </w:rPr>
              <w:t>S</w:t>
            </w:r>
          </w:p>
        </w:tc>
      </w:tr>
      <w:tr>
        <w:tc>
          <w:tcPr>
            <w:tcW w:type="dxa" w:w="1814"/>
          </w:tcPr>
          <w:p>
            <w:pPr>
              <w:spacing w:after="40"/>
            </w:pPr>
            <w:r>
              <w:rPr>
                <w:sz w:val="16"/>
              </w:rPr>
            </w:r>
            <w:r>
              <w:rPr>
                <w:b w:val="0"/>
                <w:sz w:val="16"/>
              </w:rPr>
              <w:t>M</w:t>
            </w:r>
          </w:p>
        </w:tc>
        <w:tc>
          <w:tcPr>
            <w:tcW w:type="dxa" w:w="5102"/>
          </w:tcPr>
          <w:p>
            <w:pPr>
              <w:spacing w:after="40"/>
            </w:pPr>
            <w:r>
              <w:rPr>
                <w:sz w:val="16"/>
              </w:rPr>
            </w:r>
            <w:r>
              <w:rPr>
                <w:b w:val="0"/>
                <w:sz w:val="16"/>
              </w:rPr>
              <w:t>Mechanical -- including heating, cooling and ventilation pipework</w:t>
            </w:r>
          </w:p>
        </w:tc>
        <w:tc>
          <w:tcPr>
            <w:tcW w:type="dxa" w:w="2494"/>
          </w:tcPr>
          <w:p>
            <w:pPr>
              <w:spacing w:after="40"/>
            </w:pPr>
            <w:r>
              <w:rPr>
                <w:sz w:val="16"/>
              </w:rPr>
            </w:r>
            <w:r>
              <w:rPr>
                <w:b w:val="0"/>
                <w:sz w:val="16"/>
              </w:rPr>
              <w:t>M</w:t>
            </w:r>
          </w:p>
        </w:tc>
      </w:tr>
      <w:tr>
        <w:tc>
          <w:tcPr>
            <w:tcW w:type="dxa" w:w="1814"/>
          </w:tcPr>
          <w:p>
            <w:pPr>
              <w:spacing w:after="40"/>
            </w:pPr>
            <w:r>
              <w:rPr>
                <w:sz w:val="16"/>
              </w:rPr>
            </w:r>
            <w:r>
              <w:rPr>
                <w:b w:val="0"/>
                <w:sz w:val="16"/>
              </w:rPr>
              <w:t>E</w:t>
            </w:r>
          </w:p>
        </w:tc>
        <w:tc>
          <w:tcPr>
            <w:tcW w:type="dxa" w:w="5102"/>
          </w:tcPr>
          <w:p>
            <w:pPr>
              <w:spacing w:after="40"/>
            </w:pPr>
            <w:r>
              <w:rPr>
                <w:sz w:val="16"/>
              </w:rPr>
            </w:r>
            <w:r>
              <w:rPr>
                <w:b w:val="0"/>
                <w:sz w:val="16"/>
              </w:rPr>
              <w:t>Electrical -- power and lighting</w:t>
            </w:r>
          </w:p>
        </w:tc>
        <w:tc>
          <w:tcPr>
            <w:tcW w:type="dxa" w:w="2494"/>
          </w:tcPr>
          <w:p>
            <w:pPr>
              <w:spacing w:after="40"/>
            </w:pPr>
            <w:r>
              <w:rPr>
                <w:sz w:val="16"/>
              </w:rPr>
            </w:r>
            <w:r>
              <w:rPr>
                <w:b w:val="0"/>
                <w:sz w:val="16"/>
              </w:rPr>
              <w:t>E</w:t>
            </w:r>
          </w:p>
        </w:tc>
      </w:tr>
      <w:tr>
        <w:tc>
          <w:tcPr>
            <w:tcW w:type="dxa" w:w="1814"/>
          </w:tcPr>
          <w:p>
            <w:pPr>
              <w:spacing w:after="40"/>
            </w:pPr>
            <w:r>
              <w:rPr>
                <w:sz w:val="16"/>
              </w:rPr>
            </w:r>
            <w:r>
              <w:rPr>
                <w:b w:val="0"/>
                <w:sz w:val="16"/>
              </w:rPr>
              <w:t>P</w:t>
            </w:r>
          </w:p>
        </w:tc>
        <w:tc>
          <w:tcPr>
            <w:tcW w:type="dxa" w:w="5102"/>
          </w:tcPr>
          <w:p>
            <w:pPr>
              <w:spacing w:after="40"/>
            </w:pPr>
            <w:r>
              <w:rPr>
                <w:sz w:val="16"/>
              </w:rPr>
            </w:r>
            <w:r>
              <w:rPr>
                <w:b w:val="0"/>
                <w:sz w:val="16"/>
              </w:rPr>
              <w:t>Public health -- plumbing, drainage and gas</w:t>
            </w:r>
          </w:p>
        </w:tc>
        <w:tc>
          <w:tcPr>
            <w:tcW w:type="dxa" w:w="2494"/>
          </w:tcPr>
          <w:p>
            <w:pPr>
              <w:spacing w:after="40"/>
            </w:pPr>
            <w:r>
              <w:rPr>
                <w:sz w:val="16"/>
              </w:rPr>
            </w:r>
            <w:r>
              <w:rPr>
                <w:b w:val="0"/>
                <w:sz w:val="16"/>
              </w:rPr>
              <w:t>P</w:t>
            </w:r>
          </w:p>
        </w:tc>
      </w:tr>
      <w:tr>
        <w:tc>
          <w:tcPr>
            <w:tcW w:type="dxa" w:w="1814"/>
          </w:tcPr>
          <w:p>
            <w:pPr>
              <w:spacing w:after="40"/>
            </w:pPr>
            <w:r>
              <w:rPr>
                <w:sz w:val="16"/>
              </w:rPr>
            </w:r>
            <w:r>
              <w:rPr>
                <w:b w:val="0"/>
                <w:sz w:val="16"/>
              </w:rPr>
              <w:t>FP</w:t>
            </w:r>
          </w:p>
        </w:tc>
        <w:tc>
          <w:tcPr>
            <w:tcW w:type="dxa" w:w="5102"/>
          </w:tcPr>
          <w:p>
            <w:pPr>
              <w:spacing w:after="40"/>
            </w:pPr>
            <w:r>
              <w:rPr>
                <w:sz w:val="16"/>
              </w:rPr>
            </w:r>
            <w:r>
              <w:rPr>
                <w:b w:val="0"/>
                <w:sz w:val="16"/>
              </w:rPr>
              <w:t>Fire protection -- sprinklers, suppression and fire alarm devices</w:t>
            </w:r>
          </w:p>
        </w:tc>
        <w:tc>
          <w:tcPr>
            <w:tcW w:type="dxa" w:w="2494"/>
          </w:tcPr>
          <w:p>
            <w:pPr>
              <w:spacing w:after="40"/>
            </w:pPr>
            <w:r>
              <w:rPr>
                <w:sz w:val="16"/>
              </w:rPr>
            </w:r>
            <w:r>
              <w:rPr>
                <w:b w:val="0"/>
                <w:sz w:val="16"/>
              </w:rPr>
              <w:t>Y</w:t>
            </w:r>
          </w:p>
        </w:tc>
      </w:tr>
      <w:tr>
        <w:tc>
          <w:tcPr>
            <w:tcW w:type="dxa" w:w="1814"/>
          </w:tcPr>
          <w:p>
            <w:pPr>
              <w:spacing w:after="40"/>
            </w:pPr>
            <w:r>
              <w:rPr>
                <w:sz w:val="16"/>
              </w:rPr>
            </w:r>
            <w:r>
              <w:rPr>
                <w:b w:val="0"/>
                <w:sz w:val="16"/>
              </w:rPr>
              <w:t>LV</w:t>
            </w:r>
          </w:p>
        </w:tc>
        <w:tc>
          <w:tcPr>
            <w:tcW w:type="dxa" w:w="5102"/>
          </w:tcPr>
          <w:p>
            <w:pPr>
              <w:spacing w:after="40"/>
            </w:pPr>
            <w:r>
              <w:rPr>
                <w:sz w:val="16"/>
              </w:rPr>
            </w:r>
            <w:r>
              <w:rPr>
                <w:b w:val="0"/>
                <w:sz w:val="16"/>
              </w:rPr>
              <w:t>Low voltage -- data, communications, security and audio-visual</w:t>
            </w:r>
          </w:p>
        </w:tc>
        <w:tc>
          <w:tcPr>
            <w:tcW w:type="dxa" w:w="2494"/>
          </w:tcPr>
          <w:p>
            <w:pPr>
              <w:spacing w:after="40"/>
            </w:pPr>
            <w:r>
              <w:rPr>
                <w:sz w:val="16"/>
              </w:rPr>
            </w:r>
            <w:r>
              <w:rPr>
                <w:b w:val="0"/>
                <w:sz w:val="16"/>
              </w:rPr>
              <w:t>Y</w:t>
            </w:r>
          </w:p>
        </w:tc>
      </w:tr>
      <w:tr>
        <w:tc>
          <w:tcPr>
            <w:tcW w:type="dxa" w:w="1814"/>
          </w:tcPr>
          <w:p>
            <w:pPr>
              <w:spacing w:after="40"/>
            </w:pPr>
            <w:r>
              <w:rPr>
                <w:sz w:val="16"/>
              </w:rPr>
            </w:r>
            <w:r>
              <w:rPr>
                <w:b w:val="0"/>
                <w:sz w:val="16"/>
              </w:rPr>
              <w:t>G</w:t>
            </w:r>
          </w:p>
        </w:tc>
        <w:tc>
          <w:tcPr>
            <w:tcW w:type="dxa" w:w="5102"/>
          </w:tcPr>
          <w:p>
            <w:pPr>
              <w:spacing w:after="40"/>
            </w:pPr>
            <w:r>
              <w:rPr>
                <w:sz w:val="16"/>
              </w:rPr>
            </w:r>
            <w:r>
              <w:rPr>
                <w:b w:val="0"/>
                <w:sz w:val="16"/>
              </w:rPr>
              <w:t>General -- generic models, specialty equipment and model groups</w:t>
            </w:r>
          </w:p>
        </w:tc>
        <w:tc>
          <w:tcPr>
            <w:tcW w:type="dxa" w:w="2494"/>
          </w:tcPr>
          <w:p>
            <w:pPr>
              <w:spacing w:after="40"/>
            </w:pPr>
            <w:r>
              <w:rPr>
                <w:sz w:val="16"/>
              </w:rPr>
            </w:r>
            <w:r>
              <w:rPr>
                <w:b w:val="0"/>
                <w:sz w:val="16"/>
              </w:rPr>
              <w:t>The role of whichever model it is in</w:t>
            </w:r>
          </w:p>
        </w:tc>
      </w:tr>
    </w:tbl>
    <w:p>
      <w:pPr>
        <w:spacing w:after="40"/>
      </w:pPr>
    </w:p>
    <w:p>
      <w:r>
        <w:rPr>
          <w:b w:val="0"/>
          <w:i w:val="0"/>
        </w:rPr>
        <w:t>Where the Appointing Party issues no asset reference, the element tag is used in its place, and Section 14 records that. Element tag uniqueness is guaranteed by the sequence being allocated within a volume, level and discipline; a tag repeated across two volumes is a defect, not a permitted collision.</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pPr>
        <w:pStyle w:val="Heading2"/>
      </w:pPr>
      <w:r>
        <w:t>4.5  In-model naming</w:t>
      </w:r>
    </w:p>
    <w:p>
      <w:r>
        <w:rPr>
          <w:b w:val="0"/>
          <w:i w:val="0"/>
        </w:rPr>
        <w:t>Container naming governs what leaves a model. These conventions govern what is inside one. They are set in the issued project template; a task team does not define its own.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Item</w:t>
            </w:r>
          </w:p>
        </w:tc>
        <w:tc>
          <w:tcPr>
            <w:tcW w:type="dxa" w:w="4876"/>
            <w:shd w:val="clear" w:fill="E8EDF3"/>
          </w:tcPr>
          <w:p>
            <w:r/>
            <w:r>
              <w:rPr>
                <w:b/>
                <w:color w:val="1F3654"/>
                <w:sz w:val="16"/>
              </w:rPr>
              <w:t>Convention</w:t>
            </w:r>
          </w:p>
        </w:tc>
        <w:tc>
          <w:tcPr>
            <w:tcW w:type="dxa" w:w="2721"/>
            <w:shd w:val="clear" w:fill="E8EDF3"/>
          </w:tcPr>
          <w:p>
            <w:r/>
            <w:r>
              <w:rPr>
                <w:b/>
                <w:color w:val="1F3654"/>
                <w:sz w:val="16"/>
              </w:rPr>
              <w:t>Example</w:t>
            </w:r>
          </w:p>
        </w:tc>
      </w:tr>
      <w:tr>
        <w:tc>
          <w:tcPr>
            <w:tcW w:type="dxa" w:w="1814"/>
          </w:tcPr>
          <w:p>
            <w:pPr>
              <w:spacing w:after="40"/>
            </w:pPr>
            <w:r>
              <w:rPr>
                <w:sz w:val="16"/>
              </w:rPr>
            </w:r>
            <w:r>
              <w:rPr>
                <w:b w:val="0"/>
                <w:sz w:val="16"/>
              </w:rPr>
              <w:t>Workset</w:t>
            </w:r>
          </w:p>
        </w:tc>
        <w:tc>
          <w:tcPr>
            <w:tcW w:type="dxa" w:w="4876"/>
          </w:tcPr>
          <w:p>
            <w:pPr>
              <w:spacing w:after="40"/>
            </w:pPr>
            <w:r>
              <w:rPr>
                <w:sz w:val="16"/>
              </w:rPr>
            </w:r>
            <w:r>
              <w:rPr>
                <w:b w:val="0"/>
                <w:sz w:val="16"/>
              </w:rPr>
              <w:t>[Volume]_[Discipline] — where per-volume worksets are the adopted convention</w:t>
            </w:r>
          </w:p>
        </w:tc>
        <w:tc>
          <w:tcPr>
            <w:tcW w:type="dxa" w:w="2721"/>
          </w:tcPr>
          <w:p>
            <w:pPr>
              <w:spacing w:after="40"/>
            </w:pPr>
            <w:r>
              <w:rPr>
                <w:sz w:val="16"/>
              </w:rPr>
            </w:r>
            <w:r>
              <w:rPr>
                <w:b w:val="0"/>
                <w:sz w:val="16"/>
              </w:rPr>
              <w:t>BLD2_Mechanical</w:t>
            </w:r>
          </w:p>
        </w:tc>
      </w:tr>
      <w:tr>
        <w:tc>
          <w:tcPr>
            <w:tcW w:type="dxa" w:w="1814"/>
          </w:tcPr>
          <w:p>
            <w:pPr>
              <w:spacing w:after="40"/>
            </w:pPr>
            <w:r>
              <w:rPr>
                <w:sz w:val="16"/>
              </w:rPr>
            </w:r>
            <w:r>
              <w:rPr>
                <w:b w:val="0"/>
                <w:sz w:val="16"/>
              </w:rPr>
              <w:t>Level</w:t>
            </w:r>
          </w:p>
        </w:tc>
        <w:tc>
          <w:tcPr>
            <w:tcW w:type="dxa" w:w="4876"/>
          </w:tcPr>
          <w:p>
            <w:pPr>
              <w:spacing w:after="40"/>
            </w:pPr>
            <w:r>
              <w:rPr>
                <w:sz w:val="16"/>
              </w:rPr>
            </w:r>
            <w:r>
              <w:rPr>
                <w:b w:val="0"/>
                <w:sz w:val="16"/>
              </w:rPr>
              <w:t>As issued in the template; never renamed locally, because the level code appears in every container name</w:t>
            </w:r>
          </w:p>
        </w:tc>
        <w:tc>
          <w:tcPr>
            <w:tcW w:type="dxa" w:w="2721"/>
          </w:tcPr>
          <w:p>
            <w:pPr>
              <w:spacing w:after="40"/>
            </w:pPr>
            <w:r>
              <w:rPr>
                <w:sz w:val="16"/>
              </w:rPr>
            </w:r>
            <w:r>
              <w:rPr>
                <w:b w:val="0"/>
                <w:sz w:val="16"/>
              </w:rPr>
              <w:t>GF, 01, RF</w:t>
            </w:r>
          </w:p>
        </w:tc>
      </w:tr>
      <w:tr>
        <w:tc>
          <w:tcPr>
            <w:tcW w:type="dxa" w:w="1814"/>
          </w:tcPr>
          <w:p>
            <w:pPr>
              <w:spacing w:after="40"/>
            </w:pPr>
            <w:r>
              <w:rPr>
                <w:sz w:val="16"/>
              </w:rPr>
            </w:r>
            <w:r>
              <w:rPr>
                <w:b w:val="0"/>
                <w:sz w:val="16"/>
              </w:rPr>
              <w:t>Grid</w:t>
            </w:r>
          </w:p>
        </w:tc>
        <w:tc>
          <w:tcPr>
            <w:tcW w:type="dxa" w:w="4876"/>
          </w:tcPr>
          <w:p>
            <w:pPr>
              <w:spacing w:after="40"/>
            </w:pPr>
            <w:r>
              <w:rPr>
                <w:sz w:val="16"/>
              </w:rPr>
            </w:r>
            <w:r>
              <w:rPr>
                <w:b w:val="0"/>
                <w:sz w:val="16"/>
              </w:rPr>
              <w:t>Numeric one way, alphabetic the other, as issued</w:t>
            </w:r>
          </w:p>
        </w:tc>
        <w:tc>
          <w:tcPr>
            <w:tcW w:type="dxa" w:w="2721"/>
          </w:tcPr>
          <w:p>
            <w:pPr>
              <w:spacing w:after="40"/>
            </w:pPr>
            <w:r>
              <w:rPr>
                <w:sz w:val="16"/>
              </w:rPr>
            </w:r>
            <w:r>
              <w:rPr>
                <w:b w:val="0"/>
                <w:sz w:val="16"/>
              </w:rPr>
              <w:t>1–24, A–P</w:t>
            </w:r>
          </w:p>
        </w:tc>
      </w:tr>
      <w:tr>
        <w:tc>
          <w:tcPr>
            <w:tcW w:type="dxa" w:w="1814"/>
          </w:tcPr>
          <w:p>
            <w:pPr>
              <w:spacing w:after="40"/>
            </w:pPr>
            <w:r>
              <w:rPr>
                <w:sz w:val="16"/>
              </w:rPr>
            </w:r>
            <w:r>
              <w:rPr>
                <w:b w:val="0"/>
                <w:sz w:val="16"/>
              </w:rPr>
              <w:t>View — working</w:t>
            </w:r>
          </w:p>
        </w:tc>
        <w:tc>
          <w:tcPr>
            <w:tcW w:type="dxa" w:w="4876"/>
          </w:tcPr>
          <w:p>
            <w:pPr>
              <w:spacing w:after="40"/>
            </w:pPr>
            <w:r>
              <w:rPr>
                <w:sz w:val="16"/>
              </w:rPr>
            </w:r>
            <w:r>
              <w:rPr>
                <w:b w:val="0"/>
                <w:sz w:val="16"/>
              </w:rPr>
              <w:t>WIP_[Discipline]_[Purpose]_[Level] — not placed on sheets, may be deleted at any time by its owner</w:t>
            </w:r>
          </w:p>
        </w:tc>
        <w:tc>
          <w:tcPr>
            <w:tcW w:type="dxa" w:w="2721"/>
          </w:tcPr>
          <w:p>
            <w:pPr>
              <w:spacing w:after="40"/>
            </w:pPr>
            <w:r>
              <w:rPr>
                <w:sz w:val="16"/>
              </w:rPr>
            </w:r>
            <w:r>
              <w:rPr>
                <w:b w:val="0"/>
                <w:sz w:val="16"/>
              </w:rPr>
              <w:t>WIP_M_Coordination_01</w:t>
            </w:r>
          </w:p>
        </w:tc>
      </w:tr>
      <w:tr>
        <w:tc>
          <w:tcPr>
            <w:tcW w:type="dxa" w:w="1814"/>
          </w:tcPr>
          <w:p>
            <w:pPr>
              <w:spacing w:after="40"/>
            </w:pPr>
            <w:r>
              <w:rPr>
                <w:sz w:val="16"/>
              </w:rPr>
            </w:r>
            <w:r>
              <w:rPr>
                <w:b w:val="0"/>
                <w:sz w:val="16"/>
              </w:rPr>
              <w:t>View — issued</w:t>
            </w:r>
          </w:p>
        </w:tc>
        <w:tc>
          <w:tcPr>
            <w:tcW w:type="dxa" w:w="4876"/>
          </w:tcPr>
          <w:p>
            <w:pPr>
              <w:spacing w:after="40"/>
            </w:pPr>
            <w:r>
              <w:rPr>
                <w:sz w:val="16"/>
              </w:rPr>
            </w:r>
            <w:r>
              <w:rPr>
                <w:b w:val="0"/>
                <w:sz w:val="16"/>
              </w:rPr>
              <w:t>[Discipline]_[Type]_[Level]_[Description] — placed on a sheet, never deleted without checking the sheet</w:t>
            </w:r>
          </w:p>
        </w:tc>
        <w:tc>
          <w:tcPr>
            <w:tcW w:type="dxa" w:w="2721"/>
          </w:tcPr>
          <w:p>
            <w:pPr>
              <w:spacing w:after="40"/>
            </w:pPr>
            <w:r>
              <w:rPr>
                <w:sz w:val="16"/>
              </w:rPr>
            </w:r>
            <w:r>
              <w:rPr>
                <w:b w:val="0"/>
                <w:sz w:val="16"/>
              </w:rPr>
              <w:t>A_GA Plan_GF_Temple</w:t>
            </w:r>
          </w:p>
        </w:tc>
      </w:tr>
      <w:tr>
        <w:tc>
          <w:tcPr>
            <w:tcW w:type="dxa" w:w="1814"/>
          </w:tcPr>
          <w:p>
            <w:pPr>
              <w:spacing w:after="40"/>
            </w:pPr>
            <w:r>
              <w:rPr>
                <w:sz w:val="16"/>
              </w:rPr>
            </w:r>
            <w:r>
              <w:rPr>
                <w:b w:val="0"/>
                <w:sz w:val="16"/>
              </w:rPr>
              <w:t>Loadable family</w:t>
            </w:r>
          </w:p>
        </w:tc>
        <w:tc>
          <w:tcPr>
            <w:tcW w:type="dxa" w:w="4876"/>
          </w:tcPr>
          <w:p>
            <w:pPr>
              <w:spacing w:after="40"/>
            </w:pPr>
            <w:r>
              <w:rPr>
                <w:sz w:val="16"/>
              </w:rPr>
            </w:r>
            <w:r>
              <w:rPr>
                <w:b w:val="0"/>
                <w:sz w:val="16"/>
              </w:rPr>
              <w:t>[Discipline]_[Category]_[Description]</w:t>
            </w:r>
          </w:p>
        </w:tc>
        <w:tc>
          <w:tcPr>
            <w:tcW w:type="dxa" w:w="2721"/>
          </w:tcPr>
          <w:p>
            <w:pPr>
              <w:spacing w:after="40"/>
            </w:pPr>
            <w:r>
              <w:rPr>
                <w:sz w:val="16"/>
              </w:rPr>
            </w:r>
            <w:r>
              <w:rPr>
                <w:b w:val="0"/>
                <w:sz w:val="16"/>
              </w:rPr>
              <w:t>M_AHU_Packaged</w:t>
            </w:r>
          </w:p>
        </w:tc>
      </w:tr>
      <w:tr>
        <w:tc>
          <w:tcPr>
            <w:tcW w:type="dxa" w:w="1814"/>
          </w:tcPr>
          <w:p>
            <w:pPr>
              <w:spacing w:after="40"/>
            </w:pPr>
            <w:r>
              <w:rPr>
                <w:sz w:val="16"/>
              </w:rPr>
            </w:r>
            <w:r>
              <w:rPr>
                <w:b w:val="0"/>
                <w:sz w:val="16"/>
              </w:rPr>
              <w:t>Family type</w:t>
            </w:r>
          </w:p>
        </w:tc>
        <w:tc>
          <w:tcPr>
            <w:tcW w:type="dxa" w:w="4876"/>
          </w:tcPr>
          <w:p>
            <w:pPr>
              <w:spacing w:after="40"/>
            </w:pPr>
            <w:r>
              <w:rPr>
                <w:sz w:val="16"/>
              </w:rPr>
            </w:r>
            <w:r>
              <w:rPr>
                <w:b w:val="0"/>
                <w:sz w:val="16"/>
              </w:rPr>
              <w:t>Manufacturer-neutral until LOD 350; manufacturer and model reference from LOD 400</w:t>
            </w:r>
          </w:p>
        </w:tc>
        <w:tc>
          <w:tcPr>
            <w:tcW w:type="dxa" w:w="2721"/>
          </w:tcPr>
          <w:p>
            <w:pPr>
              <w:spacing w:after="40"/>
            </w:pPr>
            <w:r>
              <w:rPr>
                <w:sz w:val="16"/>
              </w:rPr>
            </w:r>
            <w:r>
              <w:rPr>
                <w:b w:val="0"/>
                <w:sz w:val="16"/>
              </w:rPr>
              <w:t>1200x600, then Daikin FXSQ</w:t>
            </w:r>
          </w:p>
        </w:tc>
      </w:tr>
      <w:tr>
        <w:tc>
          <w:tcPr>
            <w:tcW w:type="dxa" w:w="1814"/>
          </w:tcPr>
          <w:p>
            <w:pPr>
              <w:spacing w:after="40"/>
            </w:pPr>
            <w:r>
              <w:rPr>
                <w:sz w:val="16"/>
              </w:rPr>
            </w:r>
            <w:r>
              <w:rPr>
                <w:b w:val="0"/>
                <w:sz w:val="16"/>
              </w:rPr>
              <w:t>Material</w:t>
            </w:r>
          </w:p>
        </w:tc>
        <w:tc>
          <w:tcPr>
            <w:tcW w:type="dxa" w:w="4876"/>
          </w:tcPr>
          <w:p>
            <w:pPr>
              <w:spacing w:after="40"/>
            </w:pPr>
            <w:r>
              <w:rPr>
                <w:sz w:val="16"/>
              </w:rPr>
            </w:r>
            <w:r>
              <w:rPr>
                <w:b w:val="0"/>
                <w:sz w:val="16"/>
              </w:rPr>
              <w:t>[Class]_[Description]_[Finish]</w:t>
            </w:r>
          </w:p>
        </w:tc>
        <w:tc>
          <w:tcPr>
            <w:tcW w:type="dxa" w:w="2721"/>
          </w:tcPr>
          <w:p>
            <w:pPr>
              <w:spacing w:after="40"/>
            </w:pPr>
            <w:r>
              <w:rPr>
                <w:sz w:val="16"/>
              </w:rPr>
            </w:r>
            <w:r>
              <w:rPr>
                <w:b w:val="0"/>
                <w:sz w:val="16"/>
              </w:rPr>
              <w:t>Concrete_C30_Fair Face</w:t>
            </w:r>
          </w:p>
        </w:tc>
      </w:tr>
      <w:tr>
        <w:tc>
          <w:tcPr>
            <w:tcW w:type="dxa" w:w="1814"/>
          </w:tcPr>
          <w:p>
            <w:pPr>
              <w:spacing w:after="40"/>
            </w:pPr>
            <w:r>
              <w:rPr>
                <w:sz w:val="16"/>
              </w:rPr>
            </w:r>
            <w:r>
              <w:rPr>
                <w:b w:val="0"/>
                <w:sz w:val="16"/>
              </w:rPr>
              <w:t>Sheet</w:t>
            </w:r>
          </w:p>
        </w:tc>
        <w:tc>
          <w:tcPr>
            <w:tcW w:type="dxa" w:w="4876"/>
          </w:tcPr>
          <w:p>
            <w:pPr>
              <w:spacing w:after="40"/>
            </w:pPr>
            <w:r>
              <w:rPr>
                <w:sz w:val="16"/>
              </w:rPr>
            </w:r>
            <w:r>
              <w:rPr>
                <w:b w:val="0"/>
                <w:sz w:val="16"/>
              </w:rPr>
              <w:t>Container name (Section 4.2); the sheet number IS the container number</w:t>
            </w:r>
          </w:p>
        </w:tc>
        <w:tc>
          <w:tcPr>
            <w:tcW w:type="dxa" w:w="2721"/>
          </w:tcPr>
          <w:p>
            <w:pPr>
              <w:spacing w:after="40"/>
            </w:pPr>
            <w:r>
              <w:rPr>
                <w:sz w:val="16"/>
              </w:rPr>
            </w:r>
            <w:r>
              <w:rPr>
                <w:b w:val="0"/>
                <w:sz w:val="16"/>
              </w:rPr>
              <w:t>KUT-…-SH-A-0100</w:t>
            </w:r>
          </w:p>
        </w:tc>
      </w:tr>
      <w:tr>
        <w:tc>
          <w:tcPr>
            <w:tcW w:type="dxa" w:w="1814"/>
          </w:tcPr>
          <w:p>
            <w:pPr>
              <w:spacing w:after="40"/>
            </w:pPr>
            <w:r>
              <w:rPr>
                <w:sz w:val="16"/>
              </w:rPr>
            </w:r>
            <w:r>
              <w:rPr>
                <w:b w:val="0"/>
                <w:sz w:val="16"/>
              </w:rPr>
              <w:t>View template</w:t>
            </w:r>
          </w:p>
        </w:tc>
        <w:tc>
          <w:tcPr>
            <w:tcW w:type="dxa" w:w="4876"/>
          </w:tcPr>
          <w:p>
            <w:pPr>
              <w:spacing w:after="40"/>
            </w:pPr>
            <w:r>
              <w:rPr>
                <w:sz w:val="16"/>
              </w:rPr>
            </w:r>
            <w:r>
              <w:rPr>
                <w:b w:val="0"/>
                <w:sz w:val="16"/>
              </w:rPr>
              <w:t>VT_[Discipline]_[Purpose]</w:t>
            </w:r>
          </w:p>
        </w:tc>
        <w:tc>
          <w:tcPr>
            <w:tcW w:type="dxa" w:w="2721"/>
          </w:tcPr>
          <w:p>
            <w:pPr>
              <w:spacing w:after="40"/>
            </w:pPr>
            <w:r>
              <w:rPr>
                <w:sz w:val="16"/>
              </w:rPr>
            </w:r>
            <w:r>
              <w:rPr>
                <w:b w:val="0"/>
                <w:sz w:val="16"/>
              </w:rPr>
              <w:t>VT_A_GA Plan</w:t>
            </w:r>
          </w:p>
        </w:tc>
      </w:tr>
      <w:tr>
        <w:tc>
          <w:tcPr>
            <w:tcW w:type="dxa" w:w="1814"/>
          </w:tcPr>
          <w:p>
            <w:pPr>
              <w:spacing w:after="40"/>
            </w:pPr>
            <w:r>
              <w:rPr>
                <w:sz w:val="16"/>
              </w:rPr>
            </w:r>
            <w:r>
              <w:rPr>
                <w:b w:val="0"/>
                <w:sz w:val="16"/>
              </w:rPr>
              <w:t>Filter</w:t>
            </w:r>
          </w:p>
        </w:tc>
        <w:tc>
          <w:tcPr>
            <w:tcW w:type="dxa" w:w="4876"/>
          </w:tcPr>
          <w:p>
            <w:pPr>
              <w:spacing w:after="40"/>
            </w:pPr>
            <w:r>
              <w:rPr>
                <w:sz w:val="16"/>
              </w:rPr>
            </w:r>
            <w:r>
              <w:rPr>
                <w:b w:val="0"/>
                <w:sz w:val="16"/>
              </w:rPr>
              <w:t>F_[Discipline]_[Purpose]</w:t>
            </w:r>
          </w:p>
        </w:tc>
        <w:tc>
          <w:tcPr>
            <w:tcW w:type="dxa" w:w="2721"/>
          </w:tcPr>
          <w:p>
            <w:pPr>
              <w:spacing w:after="40"/>
            </w:pPr>
            <w:r>
              <w:rPr>
                <w:sz w:val="16"/>
              </w:rPr>
            </w:r>
            <w:r>
              <w:rPr>
                <w:b w:val="0"/>
                <w:sz w:val="16"/>
              </w:rPr>
              <w:t>F_M_Supply Air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 WITH THE LEAD APPOINTED PARTY</w:t>
            </w:r>
          </w:p>
          <w:p>
            <w:r>
              <w:rPr>
                <w:b w:val="0"/>
                <w:sz w:val="19"/>
              </w:rPr>
              <w:t>These are proposals in this revision. Confirm against Symbion house standards before issue — where the Lead Appointed Party already has a convention its teams know, that convention should prevail. What matters is that one convention exists and is issued in the template, not which one.</w:t>
            </w:r>
          </w:p>
        </w:tc>
      </w:tr>
    </w:tbl>
    <w:p>
      <w:pPr>
        <w:spacing w:after="40"/>
      </w:pPr>
    </w:p>
    <w:p>
      <w:pPr>
        <w:pStyle w:val="Heading2"/>
      </w:pPr>
      <w:r>
        <w:t>4.6  Shared parameters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Ownership</w:t>
            </w:r>
          </w:p>
        </w:tc>
        <w:tc>
          <w:tcPr>
            <w:tcW w:type="dxa" w:w="7483"/>
          </w:tcPr>
          <w:p>
            <w:pPr>
              <w:spacing w:after="40"/>
            </w:pPr>
            <w:r>
              <w:rPr>
                <w:sz w:val="17"/>
              </w:rPr>
            </w:r>
            <w:r>
              <w:rPr>
                <w:b w:val="0"/>
                <w:sz w:val="17"/>
              </w:rPr>
              <w:t>The Information Manager owns the shared parameter file. No appointed party adds, renames or re-GUIDs a shared parameter</w:t>
            </w:r>
          </w:p>
        </w:tc>
      </w:tr>
      <w:tr>
        <w:tc>
          <w:tcPr>
            <w:tcW w:type="dxa" w:w="1928"/>
          </w:tcPr>
          <w:p>
            <w:pPr>
              <w:spacing w:after="40"/>
            </w:pPr>
            <w:r>
              <w:rPr>
                <w:sz w:val="17"/>
              </w:rPr>
            </w:r>
            <w:r>
              <w:rPr>
                <w:b w:val="0"/>
                <w:sz w:val="17"/>
              </w:rPr>
              <w:t>Distribution</w:t>
            </w:r>
          </w:p>
        </w:tc>
        <w:tc>
          <w:tcPr>
            <w:tcW w:type="dxa" w:w="7483"/>
          </w:tcPr>
          <w:p>
            <w:pPr>
              <w:spacing w:after="40"/>
            </w:pPr>
            <w:r>
              <w:rPr>
                <w:sz w:val="17"/>
              </w:rPr>
            </w:r>
            <w:r>
              <w:rPr>
                <w:b w:val="0"/>
                <w:sz w:val="17"/>
              </w:rPr>
              <w:t>Issued with the project template and re-issued whenever it changes</w:t>
            </w:r>
          </w:p>
        </w:tc>
      </w:tr>
      <w:tr>
        <w:tc>
          <w:tcPr>
            <w:tcW w:type="dxa" w:w="1928"/>
          </w:tcPr>
          <w:p>
            <w:pPr>
              <w:spacing w:after="40"/>
            </w:pPr>
            <w:r>
              <w:rPr>
                <w:sz w:val="17"/>
              </w:rPr>
            </w:r>
            <w:r>
              <w:rPr>
                <w:b w:val="0"/>
                <w:sz w:val="17"/>
              </w:rPr>
              <w:t>Requests</w:t>
            </w:r>
          </w:p>
        </w:tc>
        <w:tc>
          <w:tcPr>
            <w:tcW w:type="dxa" w:w="7483"/>
          </w:tcPr>
          <w:p>
            <w:pPr>
              <w:spacing w:after="40"/>
            </w:pPr>
            <w:r>
              <w:rPr>
                <w:sz w:val="17"/>
              </w:rPr>
            </w:r>
            <w:r>
              <w:rPr>
                <w:b w:val="0"/>
                <w:sz w:val="17"/>
              </w:rPr>
              <w:t>A discipline needing a new parameter requests it; it is added centrally and reissued, so every model binds the same GUID</w:t>
            </w:r>
          </w:p>
        </w:tc>
      </w:tr>
      <w:tr>
        <w:tc>
          <w:tcPr>
            <w:tcW w:type="dxa" w:w="1928"/>
          </w:tcPr>
          <w:p>
            <w:pPr>
              <w:spacing w:after="40"/>
            </w:pPr>
            <w:r>
              <w:rPr>
                <w:sz w:val="17"/>
              </w:rPr>
            </w:r>
            <w:r>
              <w:rPr>
                <w:b w:val="0"/>
                <w:sz w:val="17"/>
              </w:rPr>
              <w:t>Why it matters</w:t>
            </w:r>
          </w:p>
        </w:tc>
        <w:tc>
          <w:tcPr>
            <w:tcW w:type="dxa" w:w="7483"/>
          </w:tcPr>
          <w:p>
            <w:pPr>
              <w:spacing w:after="40"/>
            </w:pPr>
            <w:r>
              <w:rPr>
                <w:sz w:val="17"/>
              </w:rPr>
            </w:r>
            <w:r>
              <w:rPr>
                <w:b w:val="0"/>
                <w:sz w:val="17"/>
              </w:rPr>
              <w:t>A parameter added locally has a different GUID. It looks identical in the user interface, schedules separately, and is invisible to every automated check</w:t>
            </w:r>
          </w:p>
        </w:tc>
      </w:tr>
    </w:tbl>
    <w:p>
      <w:pPr>
        <w:spacing w:after="40"/>
      </w:pP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pPr>
        <w:pStyle w:val="Heading2"/>
      </w:pPr>
      <w:r>
        <w:t>5.1  Folder structure</w:t>
      </w:r>
    </w:p>
    <w:p>
      <w:r>
        <w:rPr>
          <w:b w:val="0"/>
          <w:i w:val="0"/>
        </w:rPr>
        <w:t>The state is the top level; volume and discipline divide it. A container lives in exactly one place, and its location matches its name.</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Level</w:t>
            </w:r>
          </w:p>
        </w:tc>
        <w:tc>
          <w:tcPr>
            <w:tcW w:type="dxa" w:w="7030"/>
            <w:shd w:val="clear" w:fill="E8EDF3"/>
          </w:tcPr>
          <w:p>
            <w:r/>
            <w:r>
              <w:rPr>
                <w:b/>
                <w:color w:val="1F3654"/>
                <w:sz w:val="17"/>
              </w:rPr>
              <w:t>Folders</w:t>
            </w:r>
          </w:p>
        </w:tc>
      </w:tr>
      <w:tr>
        <w:tc>
          <w:tcPr>
            <w:tcW w:type="dxa" w:w="2381"/>
          </w:tcPr>
          <w:p>
            <w:pPr>
              <w:spacing w:after="40"/>
            </w:pPr>
            <w:r>
              <w:rPr>
                <w:sz w:val="17"/>
              </w:rPr>
            </w:r>
            <w:r>
              <w:rPr>
                <w:b w:val="0"/>
                <w:sz w:val="17"/>
              </w:rPr>
              <w:t>State</w:t>
            </w:r>
          </w:p>
        </w:tc>
        <w:tc>
          <w:tcPr>
            <w:tcW w:type="dxa" w:w="7030"/>
          </w:tcPr>
          <w:p>
            <w:pPr>
              <w:spacing w:after="40"/>
            </w:pPr>
            <w:r>
              <w:rPr>
                <w:sz w:val="17"/>
              </w:rPr>
            </w:r>
            <w:r>
              <w:rPr>
                <w:b w:val="0"/>
                <w:sz w:val="17"/>
              </w:rPr>
              <w:t>00_WIP · 01_SHARED · 02_PUBLISHED · 03_ARCHIVED</w:t>
            </w:r>
          </w:p>
        </w:tc>
      </w:tr>
      <w:tr>
        <w:tc>
          <w:tcPr>
            <w:tcW w:type="dxa" w:w="2381"/>
          </w:tcPr>
          <w:p>
            <w:pPr>
              <w:spacing w:after="40"/>
            </w:pPr>
            <w:r>
              <w:rPr>
                <w:sz w:val="17"/>
              </w:rPr>
            </w:r>
            <w:r>
              <w:rPr>
                <w:b w:val="0"/>
                <w:sz w:val="17"/>
              </w:rPr>
              <w:t>Within WIP</w:t>
            </w:r>
          </w:p>
        </w:tc>
        <w:tc>
          <w:tcPr>
            <w:tcW w:type="dxa" w:w="7030"/>
          </w:tcPr>
          <w:p>
            <w:pPr>
              <w:spacing w:after="40"/>
            </w:pPr>
            <w:r>
              <w:rPr>
                <w:sz w:val="17"/>
              </w:rPr>
            </w:r>
            <w:r>
              <w:rPr>
                <w:b w:val="0"/>
                <w:sz w:val="17"/>
              </w:rPr>
              <w:t>One folder per appointed party. A party sees only its own WIP folder</w:t>
            </w:r>
          </w:p>
        </w:tc>
      </w:tr>
      <w:tr>
        <w:tc>
          <w:tcPr>
            <w:tcW w:type="dxa" w:w="2381"/>
          </w:tcPr>
          <w:p>
            <w:pPr>
              <w:spacing w:after="40"/>
            </w:pPr>
            <w:r>
              <w:rPr>
                <w:sz w:val="17"/>
              </w:rPr>
            </w:r>
            <w:r>
              <w:rPr>
                <w:b w:val="0"/>
                <w:sz w:val="17"/>
              </w:rPr>
              <w:t>Within SHARED and PUBLISHED</w:t>
            </w:r>
          </w:p>
        </w:tc>
        <w:tc>
          <w:tcPr>
            <w:tcW w:type="dxa" w:w="7030"/>
          </w:tcPr>
          <w:p>
            <w:pPr>
              <w:spacing w:after="40"/>
            </w:pPr>
            <w:r>
              <w:rPr>
                <w:sz w:val="17"/>
              </w:rPr>
            </w:r>
            <w:r>
              <w:rPr>
                <w:b w:val="0"/>
                <w:sz w:val="17"/>
              </w:rPr>
              <w:t>By volume (BLD1 … BLD6, EXT), then by information type (Models · Drawings · Schedules · Documents · Reports)</w:t>
            </w:r>
          </w:p>
        </w:tc>
      </w:tr>
      <w:tr>
        <w:tc>
          <w:tcPr>
            <w:tcW w:type="dxa" w:w="2381"/>
          </w:tcPr>
          <w:p>
            <w:pPr>
              <w:spacing w:after="40"/>
            </w:pPr>
            <w:r>
              <w:rPr>
                <w:sz w:val="17"/>
              </w:rPr>
            </w:r>
            <w:r>
              <w:rPr>
                <w:b w:val="0"/>
                <w:sz w:val="17"/>
              </w:rPr>
              <w:t>Within ARCHIVED</w:t>
            </w:r>
          </w:p>
        </w:tc>
        <w:tc>
          <w:tcPr>
            <w:tcW w:type="dxa" w:w="7030"/>
          </w:tcPr>
          <w:p>
            <w:pPr>
              <w:spacing w:after="40"/>
            </w:pPr>
            <w:r>
              <w:rPr>
                <w:sz w:val="17"/>
              </w:rPr>
            </w:r>
            <w:r>
              <w:rPr>
                <w:b w:val="0"/>
                <w:sz w:val="17"/>
              </w:rPr>
              <w:t>Mirrors PUBLISHED, by issue date</w:t>
            </w:r>
          </w:p>
        </w:tc>
      </w:tr>
      <w:tr>
        <w:tc>
          <w:tcPr>
            <w:tcW w:type="dxa" w:w="2381"/>
          </w:tcPr>
          <w:p>
            <w:pPr>
              <w:spacing w:after="40"/>
            </w:pPr>
            <w:r>
              <w:rPr>
                <w:sz w:val="17"/>
              </w:rPr>
            </w:r>
            <w:r>
              <w:rPr>
                <w:b w:val="0"/>
                <w:sz w:val="17"/>
              </w:rPr>
              <w:t>Outside the states</w:t>
            </w:r>
          </w:p>
        </w:tc>
        <w:tc>
          <w:tcPr>
            <w:tcW w:type="dxa" w:w="7030"/>
          </w:tcPr>
          <w:p>
            <w:pPr>
              <w:spacing w:after="40"/>
            </w:pPr>
            <w:r>
              <w:rPr>
                <w:sz w:val="17"/>
              </w:rPr>
            </w:r>
            <w:r>
              <w:rPr>
                <w:b w:val="0"/>
                <w:sz w:val="17"/>
              </w:rPr>
              <w:t>Incoming (survey, Appointing Party issues) and Templates (project template, family library, title blocks, seed model)</w:t>
            </w:r>
          </w:p>
        </w:tc>
      </w:tr>
    </w:tbl>
    <w:p>
      <w:pPr>
        <w:spacing w:after="40"/>
      </w:pPr>
    </w:p>
    <w:p>
      <w:pPr>
        <w:pStyle w:val="Heading2"/>
      </w:pPr>
      <w:r>
        <w:t>5.2  Permission matrix</w:t>
      </w:r>
    </w:p>
    <w:p>
      <w:r>
        <w:rPr>
          <w:b w:val="0"/>
          <w:i w:val="0"/>
        </w:rPr>
        <w:t>Least privilege. A party that cannot publish cannot publish by accident.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2268"/>
            <w:shd w:val="clear" w:fill="E8EDF3"/>
          </w:tcPr>
          <w:p>
            <w:r/>
            <w:r>
              <w:rPr>
                <w:b/>
                <w:color w:val="1F3654"/>
                <w:sz w:val="16"/>
              </w:rPr>
              <w:t>Role</w:t>
            </w:r>
          </w:p>
        </w:tc>
        <w:tc>
          <w:tcPr>
            <w:tcW w:type="dxa" w:w="1587"/>
            <w:shd w:val="clear" w:fill="E8EDF3"/>
          </w:tcPr>
          <w:p>
            <w:r/>
            <w:r>
              <w:rPr>
                <w:b/>
                <w:color w:val="1F3654"/>
                <w:sz w:val="16"/>
              </w:rPr>
              <w:t>Own WIP</w:t>
            </w:r>
          </w:p>
        </w:tc>
        <w:tc>
          <w:tcPr>
            <w:tcW w:type="dxa" w:w="1361"/>
            <w:shd w:val="clear" w:fill="E8EDF3"/>
          </w:tcPr>
          <w:p>
            <w:r/>
            <w:r>
              <w:rPr>
                <w:b/>
                <w:color w:val="1F3654"/>
                <w:sz w:val="16"/>
              </w:rPr>
              <w:t>Other WIP</w:t>
            </w:r>
          </w:p>
        </w:tc>
        <w:tc>
          <w:tcPr>
            <w:tcW w:type="dxa" w:w="1361"/>
            <w:shd w:val="clear" w:fill="E8EDF3"/>
          </w:tcPr>
          <w:p>
            <w:r/>
            <w:r>
              <w:rPr>
                <w:b/>
                <w:color w:val="1F3654"/>
                <w:sz w:val="16"/>
              </w:rPr>
              <w:t>Shared</w:t>
            </w:r>
          </w:p>
        </w:tc>
        <w:tc>
          <w:tcPr>
            <w:tcW w:type="dxa" w:w="1474"/>
            <w:shd w:val="clear" w:fill="E8EDF3"/>
          </w:tcPr>
          <w:p>
            <w:r/>
            <w:r>
              <w:rPr>
                <w:b/>
                <w:color w:val="1F3654"/>
                <w:sz w:val="16"/>
              </w:rPr>
              <w:t>Published</w:t>
            </w:r>
          </w:p>
        </w:tc>
        <w:tc>
          <w:tcPr>
            <w:tcW w:type="dxa" w:w="1361"/>
            <w:shd w:val="clear" w:fill="E8EDF3"/>
          </w:tcPr>
          <w:p>
            <w:r/>
            <w:r>
              <w:rPr>
                <w:b/>
                <w:color w:val="1F3654"/>
                <w:sz w:val="16"/>
              </w:rPr>
              <w:t>Archived</w:t>
            </w:r>
          </w:p>
        </w:tc>
      </w:tr>
      <w:tr>
        <w:tc>
          <w:tcPr>
            <w:tcW w:type="dxa" w:w="2268"/>
          </w:tcPr>
          <w:p>
            <w:pPr>
              <w:spacing w:after="40"/>
            </w:pPr>
            <w:r>
              <w:rPr>
                <w:sz w:val="16"/>
              </w:rPr>
            </w:r>
            <w:r>
              <w:rPr>
                <w:b w:val="0"/>
                <w:sz w:val="16"/>
              </w:rPr>
              <w:t>Task team member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Task Team Manager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Information Manager</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write</w:t>
            </w:r>
          </w:p>
        </w:tc>
        <w:tc>
          <w:tcPr>
            <w:tcW w:type="dxa" w:w="1361"/>
          </w:tcPr>
          <w:p>
            <w:pPr>
              <w:spacing w:after="40"/>
            </w:pPr>
            <w:r>
              <w:rPr>
                <w:sz w:val="16"/>
              </w:rPr>
            </w:r>
            <w:r>
              <w:rPr>
                <w:b w:val="0"/>
                <w:sz w:val="16"/>
              </w:rPr>
              <w:t>Read / write</w:t>
            </w:r>
          </w:p>
        </w:tc>
      </w:tr>
      <w:tr>
        <w:tc>
          <w:tcPr>
            <w:tcW w:type="dxa" w:w="2268"/>
          </w:tcPr>
          <w:p>
            <w:pPr>
              <w:spacing w:after="40"/>
            </w:pPr>
            <w:r>
              <w:rPr>
                <w:sz w:val="16"/>
              </w:rPr>
            </w:r>
            <w:r>
              <w:rPr>
                <w:b w:val="0"/>
                <w:sz w:val="16"/>
              </w:rPr>
              <w:t>Lead Appointed Party</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approve</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Appointing Party</w:t>
            </w:r>
          </w:p>
        </w:tc>
        <w:tc>
          <w:tcPr>
            <w:tcW w:type="dxa" w:w="1587"/>
          </w:tcPr>
          <w:p>
            <w:pPr>
              <w:spacing w:after="40"/>
            </w:pPr>
            <w:r>
              <w:rPr>
                <w:sz w:val="16"/>
              </w:rPr>
            </w:r>
            <w:r>
              <w:rPr>
                <w:b w:val="0"/>
                <w:sz w:val="16"/>
              </w:rPr>
              <w:t>None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 / accept</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Contractor (from 3.1)</w:t>
            </w:r>
          </w:p>
        </w:tc>
        <w:tc>
          <w:tcPr>
            <w:tcW w:type="dxa" w:w="1587"/>
          </w:tcPr>
          <w:p>
            <w:pPr>
              <w:spacing w:after="40"/>
            </w:pPr>
            <w:r>
              <w:rPr>
                <w:sz w:val="16"/>
              </w:rPr>
            </w:r>
            <w:r>
              <w:rPr>
                <w:b w:val="0"/>
                <w:sz w:val="16"/>
              </w:rPr>
              <w:t>Read / write (own)</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[FILL — other parties]</w:t>
            </w:r>
          </w:p>
        </w:tc>
        <w:tc>
          <w:tcPr>
            <w:tcW w:type="dxa" w:w="1587"/>
          </w:tcPr>
          <w:p>
            <w:pPr>
              <w:spacing w:after="40"/>
            </w:pPr>
            <w:r>
              <w:rPr>
                <w:sz w:val="16"/>
              </w:rPr>
            </w:r>
          </w:p>
        </w:tc>
        <w:tc>
          <w:tcPr>
            <w:tcW w:type="dxa" w:w="1361"/>
          </w:tcPr>
          <w:p>
            <w:pPr>
              <w:spacing w:after="40"/>
            </w:pPr>
            <w:r>
              <w:rPr>
                <w:sz w:val="16"/>
              </w:rPr>
            </w:r>
          </w:p>
        </w:tc>
        <w:tc>
          <w:tcPr>
            <w:tcW w:type="dxa" w:w="1361"/>
          </w:tcPr>
          <w:p>
            <w:pPr>
              <w:spacing w:after="40"/>
            </w:pPr>
            <w:r>
              <w:rPr>
                <w:sz w:val="16"/>
              </w:rPr>
            </w:r>
          </w:p>
        </w:tc>
        <w:tc>
          <w:tcPr>
            <w:tcW w:type="dxa" w:w="1474"/>
          </w:tcPr>
          <w:p>
            <w:pPr>
              <w:spacing w:after="40"/>
            </w:pPr>
            <w:r>
              <w:rPr>
                <w:sz w:val="16"/>
              </w:rPr>
            </w:r>
          </w:p>
        </w:tc>
        <w:tc>
          <w:tcPr>
            <w:tcW w:type="dxa" w:w="1361"/>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DELETION</w:t>
            </w:r>
          </w:p>
          <w:p>
            <w:r>
              <w:rPr>
                <w:b w:val="0"/>
                <w:sz w:val="19"/>
              </w:rPr>
              <w:t>Nobody deletes. Superseded information moves to ARCHIVED and remains retrievable. The ability to delete is withheld from every project role and retained by the platform administrator.</w:t>
            </w:r>
          </w:p>
        </w:tc>
      </w:tr>
    </w:tbl>
    <w:p>
      <w:pPr>
        <w:spacing w:after="40"/>
      </w:pPr>
    </w:p>
    <w:p>
      <w:pPr>
        <w:pStyle w:val="Heading2"/>
      </w:pPr>
      <w:r>
        <w:t>5.3  Retention and archive</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Arrangement</w:t>
            </w:r>
          </w:p>
        </w:tc>
      </w:tr>
      <w:tr>
        <w:tc>
          <w:tcPr>
            <w:tcW w:type="dxa" w:w="2494"/>
          </w:tcPr>
          <w:p>
            <w:pPr>
              <w:spacing w:after="40"/>
            </w:pPr>
            <w:r>
              <w:rPr>
                <w:sz w:val="17"/>
              </w:rPr>
            </w:r>
            <w:r>
              <w:rPr>
                <w:b w:val="0"/>
                <w:sz w:val="17"/>
              </w:rPr>
              <w:t>Retention period</w:t>
            </w:r>
          </w:p>
        </w:tc>
        <w:tc>
          <w:tcPr>
            <w:tcW w:type="dxa" w:w="6917"/>
          </w:tcPr>
          <w:p>
            <w:pPr>
              <w:spacing w:after="40"/>
            </w:pPr>
            <w:r>
              <w:rPr>
                <w:sz w:val="17"/>
              </w:rPr>
            </w:r>
            <w:r>
              <w:rPr>
                <w:b w:val="0"/>
                <w:sz w:val="17"/>
              </w:rPr>
              <w:t>[FILL — from the appointment; state the period after practical completion]</w:t>
            </w:r>
          </w:p>
        </w:tc>
      </w:tr>
      <w:tr>
        <w:tc>
          <w:tcPr>
            <w:tcW w:type="dxa" w:w="2494"/>
          </w:tcPr>
          <w:p>
            <w:pPr>
              <w:spacing w:after="40"/>
            </w:pPr>
            <w:r>
              <w:rPr>
                <w:sz w:val="17"/>
              </w:rPr>
            </w:r>
            <w:r>
              <w:rPr>
                <w:b w:val="0"/>
                <w:sz w:val="17"/>
              </w:rPr>
              <w:t>Archive format</w:t>
            </w:r>
          </w:p>
        </w:tc>
        <w:tc>
          <w:tcPr>
            <w:tcW w:type="dxa" w:w="6917"/>
          </w:tcPr>
          <w:p>
            <w:pPr>
              <w:spacing w:after="40"/>
            </w:pPr>
            <w:r>
              <w:rPr>
                <w:sz w:val="17"/>
              </w:rPr>
            </w:r>
            <w:r>
              <w:rPr>
                <w:b w:val="0"/>
                <w:sz w:val="17"/>
              </w:rPr>
              <w:t>Native and PDF for documents and drawings; native and IFC for models; XLSX for schedules and handover data</w:t>
            </w:r>
          </w:p>
        </w:tc>
      </w:tr>
      <w:tr>
        <w:tc>
          <w:tcPr>
            <w:tcW w:type="dxa" w:w="2494"/>
          </w:tcPr>
          <w:p>
            <w:pPr>
              <w:spacing w:after="40"/>
            </w:pPr>
            <w:r>
              <w:rPr>
                <w:sz w:val="17"/>
              </w:rPr>
            </w:r>
            <w:r>
              <w:rPr>
                <w:b w:val="0"/>
                <w:sz w:val="17"/>
              </w:rPr>
              <w:t>Archive trigger</w:t>
            </w:r>
          </w:p>
        </w:tc>
        <w:tc>
          <w:tcPr>
            <w:tcW w:type="dxa" w:w="6917"/>
          </w:tcPr>
          <w:p>
            <w:pPr>
              <w:spacing w:after="40"/>
            </w:pPr>
            <w:r>
              <w:rPr>
                <w:sz w:val="17"/>
              </w:rPr>
            </w:r>
            <w:r>
              <w:rPr>
                <w:b w:val="0"/>
                <w:sz w:val="17"/>
              </w:rPr>
              <w:t>Each gate, and at project close</w:t>
            </w:r>
          </w:p>
        </w:tc>
      </w:tr>
      <w:tr>
        <w:tc>
          <w:tcPr>
            <w:tcW w:type="dxa" w:w="2494"/>
          </w:tcPr>
          <w:p>
            <w:pPr>
              <w:spacing w:after="40"/>
            </w:pPr>
            <w:r>
              <w:rPr>
                <w:sz w:val="17"/>
              </w:rPr>
            </w:r>
            <w:r>
              <w:rPr>
                <w:b w:val="0"/>
                <w:sz w:val="17"/>
              </w:rPr>
              <w:t>Custody at close</w:t>
            </w:r>
          </w:p>
        </w:tc>
        <w:tc>
          <w:tcPr>
            <w:tcW w:type="dxa" w:w="6917"/>
          </w:tcPr>
          <w:p>
            <w:pPr>
              <w:spacing w:after="40"/>
            </w:pPr>
            <w:r>
              <w:rPr>
                <w:sz w:val="17"/>
              </w:rPr>
            </w:r>
            <w:r>
              <w:rPr>
                <w:b w:val="0"/>
                <w:sz w:val="17"/>
              </w:rPr>
              <w:t>[FILL — who holds the archive, and in what environment, once the CDE subscription ends]</w:t>
            </w:r>
          </w:p>
        </w:tc>
      </w:tr>
      <w:tr>
        <w:tc>
          <w:tcPr>
            <w:tcW w:type="dxa" w:w="2494"/>
          </w:tcPr>
          <w:p>
            <w:pPr>
              <w:spacing w:after="40"/>
            </w:pPr>
            <w:r>
              <w:rPr>
                <w:sz w:val="17"/>
              </w:rPr>
            </w:r>
            <w:r>
              <w:rPr>
                <w:b w:val="0"/>
                <w:sz w:val="17"/>
              </w:rPr>
              <w:t>Handover of the CDE itself</w:t>
            </w:r>
          </w:p>
        </w:tc>
        <w:tc>
          <w:tcPr>
            <w:tcW w:type="dxa" w:w="6917"/>
          </w:tcPr>
          <w:p>
            <w:pPr>
              <w:spacing w:after="40"/>
            </w:pPr>
            <w:r>
              <w:rPr>
                <w:sz w:val="17"/>
              </w:rPr>
            </w:r>
            <w:r>
              <w:rPr>
                <w:b w:val="0"/>
                <w:sz w:val="17"/>
              </w:rPr>
              <w:t>[FILL — whether the Appointing Party takes over the environment or receives an export]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EXIT</w:t>
            </w:r>
          </w:p>
          <w:p>
            <w:r>
              <w:rPr>
                <w:b w:val="0"/>
                <w:sz w:val="19"/>
              </w:rPr>
              <w:t>Decide the exit arrangement at mobilisation, not at close-out. A CDE subscription that lapses with the project information inside it is a real and common way to lose an archive.</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The coordinate system is established once at mobilisation from the site survey and locked thereafter. It is the single setting on this project that cannot be corrected later without re-issuing every model and every drawing, so it is recorded here in full rather than by reference.</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Item</w:t>
            </w:r>
          </w:p>
        </w:tc>
        <w:tc>
          <w:tcPr>
            <w:tcW w:type="dxa" w:w="5783"/>
            <w:shd w:val="clear" w:fill="E8EDF3"/>
          </w:tcPr>
          <w:p>
            <w:r/>
            <w:r>
              <w:rPr>
                <w:b/>
                <w:color w:val="1F3654"/>
                <w:sz w:val="17"/>
              </w:rPr>
              <w:t>Value</w:t>
            </w:r>
          </w:p>
        </w:tc>
      </w:tr>
      <w:tr>
        <w:tc>
          <w:tcPr>
            <w:tcW w:type="dxa" w:w="3628"/>
          </w:tcPr>
          <w:p>
            <w:pPr>
              <w:spacing w:after="40"/>
            </w:pPr>
            <w:r>
              <w:rPr>
                <w:sz w:val="17"/>
              </w:rPr>
            </w:r>
            <w:r>
              <w:rPr>
                <w:b w:val="0"/>
                <w:sz w:val="17"/>
              </w:rPr>
              <w:t>Survey datum</w:t>
            </w:r>
          </w:p>
        </w:tc>
        <w:tc>
          <w:tcPr>
            <w:tcW w:type="dxa" w:w="5783"/>
          </w:tcPr>
          <w:p>
            <w:pPr>
              <w:spacing w:after="40"/>
            </w:pPr>
            <w:r>
              <w:rPr>
                <w:sz w:val="17"/>
              </w:rPr>
            </w:r>
            <w:r>
              <w:rPr>
                <w:b w:val="0"/>
                <w:sz w:val="17"/>
              </w:rPr>
              <w:t>[FILL — vertical datum and its origin, e.g. Uganda national datum, or a stated site benchmark with its reduced level]</w:t>
            </w:r>
          </w:p>
        </w:tc>
      </w:tr>
      <w:tr>
        <w:tc>
          <w:tcPr>
            <w:tcW w:type="dxa" w:w="3628"/>
          </w:tcPr>
          <w:p>
            <w:pPr>
              <w:spacing w:after="40"/>
            </w:pPr>
            <w:r>
              <w:rPr>
                <w:sz w:val="17"/>
              </w:rPr>
            </w:r>
            <w:r>
              <w:rPr>
                <w:b w:val="0"/>
                <w:sz w:val="17"/>
              </w:rPr>
              <w:t>Site benchmark</w:t>
            </w:r>
          </w:p>
        </w:tc>
        <w:tc>
          <w:tcPr>
            <w:tcW w:type="dxa" w:w="5783"/>
          </w:tcPr>
          <w:p>
            <w:pPr>
              <w:spacing w:after="40"/>
            </w:pPr>
            <w:r>
              <w:rPr>
                <w:sz w:val="17"/>
              </w:rPr>
            </w:r>
            <w:r>
              <w:rPr>
                <w:b w:val="0"/>
                <w:sz w:val="17"/>
              </w:rPr>
              <w:t>[FILL — description, location and reduced level]</w:t>
            </w:r>
          </w:p>
        </w:tc>
      </w:tr>
      <w:tr>
        <w:tc>
          <w:tcPr>
            <w:tcW w:type="dxa" w:w="3628"/>
          </w:tcPr>
          <w:p>
            <w:pPr>
              <w:spacing w:after="40"/>
            </w:pPr>
            <w:r>
              <w:rPr>
                <w:sz w:val="17"/>
              </w:rPr>
            </w:r>
            <w:r>
              <w:rPr>
                <w:b w:val="0"/>
                <w:sz w:val="17"/>
              </w:rPr>
              <w:t>Coordinate system / projection</w:t>
            </w:r>
          </w:p>
        </w:tc>
        <w:tc>
          <w:tcPr>
            <w:tcW w:type="dxa" w:w="5783"/>
          </w:tcPr>
          <w:p>
            <w:pPr>
              <w:spacing w:after="40"/>
            </w:pPr>
            <w:r>
              <w:rPr>
                <w:sz w:val="17"/>
              </w:rPr>
            </w:r>
            <w:r>
              <w:rPr>
                <w:b w:val="0"/>
                <w:sz w:val="17"/>
              </w:rPr>
              <w:t>[FILL — e.g. UTM Zone 36N, or a stated site grid]</w:t>
            </w:r>
          </w:p>
        </w:tc>
      </w:tr>
      <w:tr>
        <w:tc>
          <w:tcPr>
            <w:tcW w:type="dxa" w:w="3628"/>
          </w:tcPr>
          <w:p>
            <w:pPr>
              <w:spacing w:after="40"/>
            </w:pPr>
            <w:r>
              <w:rPr>
                <w:sz w:val="17"/>
              </w:rPr>
            </w:r>
            <w:r>
              <w:rPr>
                <w:b w:val="0"/>
                <w:sz w:val="17"/>
              </w:rPr>
              <w:t>Survey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Project base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Angle to true north</w:t>
            </w:r>
          </w:p>
        </w:tc>
        <w:tc>
          <w:tcPr>
            <w:tcW w:type="dxa" w:w="5783"/>
          </w:tcPr>
          <w:p>
            <w:pPr>
              <w:spacing w:after="40"/>
            </w:pPr>
            <w:r>
              <w:rPr>
                <w:sz w:val="17"/>
              </w:rPr>
            </w:r>
            <w:r>
              <w:rPr>
                <w:b w:val="0"/>
                <w:sz w:val="17"/>
              </w:rPr>
              <w:t>[FILL — degrees, and the direction of measurement]</w:t>
            </w:r>
          </w:p>
        </w:tc>
      </w:tr>
      <w:tr>
        <w:tc>
          <w:tcPr>
            <w:tcW w:type="dxa" w:w="3628"/>
          </w:tcPr>
          <w:p>
            <w:pPr>
              <w:spacing w:after="40"/>
            </w:pPr>
            <w:r>
              <w:rPr>
                <w:sz w:val="17"/>
              </w:rPr>
            </w:r>
            <w:r>
              <w:rPr>
                <w:b w:val="0"/>
                <w:sz w:val="17"/>
              </w:rPr>
              <w:t>Internal origin offset</w:t>
            </w:r>
          </w:p>
        </w:tc>
        <w:tc>
          <w:tcPr>
            <w:tcW w:type="dxa" w:w="5783"/>
          </w:tcPr>
          <w:p>
            <w:pPr>
              <w:spacing w:after="40"/>
            </w:pPr>
            <w:r>
              <w:rPr>
                <w:sz w:val="17"/>
              </w:rPr>
            </w:r>
            <w:r>
              <w:rPr>
                <w:b w:val="0"/>
                <w:sz w:val="17"/>
              </w:rPr>
              <w:t>[FILL — must remain within 10 km of the internal origin to avoid geometry and display faults]</w:t>
            </w:r>
          </w:p>
        </w:tc>
      </w:tr>
      <w:tr>
        <w:tc>
          <w:tcPr>
            <w:tcW w:type="dxa" w:w="3628"/>
          </w:tcPr>
          <w:p>
            <w:pPr>
              <w:spacing w:after="40"/>
            </w:pPr>
            <w:r>
              <w:rPr>
                <w:sz w:val="17"/>
              </w:rPr>
            </w:r>
            <w:r>
              <w:rPr>
                <w:b w:val="0"/>
                <w:sz w:val="17"/>
              </w:rPr>
              <w:t>Units</w:t>
            </w:r>
          </w:p>
        </w:tc>
        <w:tc>
          <w:tcPr>
            <w:tcW w:type="dxa" w:w="5783"/>
          </w:tcPr>
          <w:p>
            <w:pPr>
              <w:spacing w:after="40"/>
            </w:pPr>
            <w:r>
              <w:rPr>
                <w:sz w:val="17"/>
              </w:rPr>
            </w:r>
            <w:r>
              <w:rPr>
                <w:b w:val="0"/>
                <w:sz w:val="17"/>
              </w:rPr>
              <w:t>Millimetres. Project units set in the template and not altered</w:t>
            </w:r>
          </w:p>
        </w:tc>
      </w:tr>
      <w:tr>
        <w:tc>
          <w:tcPr>
            <w:tcW w:type="dxa" w:w="3628"/>
          </w:tcPr>
          <w:p>
            <w:pPr>
              <w:spacing w:after="40"/>
            </w:pPr>
            <w:r>
              <w:rPr>
                <w:sz w:val="17"/>
              </w:rPr>
            </w:r>
            <w:r>
              <w:rPr>
                <w:b w:val="0"/>
                <w:sz w:val="17"/>
              </w:rPr>
              <w:t>Source survey</w:t>
            </w:r>
          </w:p>
        </w:tc>
        <w:tc>
          <w:tcPr>
            <w:tcW w:type="dxa" w:w="5783"/>
          </w:tcPr>
          <w:p>
            <w:pPr>
              <w:spacing w:after="40"/>
            </w:pPr>
            <w:r>
              <w:rPr>
                <w:sz w:val="17"/>
              </w:rPr>
            </w:r>
            <w:r>
              <w:rPr>
                <w:b w:val="0"/>
                <w:sz w:val="17"/>
              </w:rPr>
              <w:t>[FILL — surveyor, drawing reference, date]</w:t>
            </w:r>
          </w:p>
        </w:tc>
      </w:tr>
    </w:tbl>
    <w:p>
      <w:pPr>
        <w:spacing w:after="40"/>
      </w:pPr>
    </w:p>
    <w:p>
      <w:pPr>
        <w:pStyle w:val="Heading3"/>
      </w:pPr>
      <w:r>
        <w:t>6.3.1  How coordinates are adopted</w:t>
      </w:r>
    </w:p>
    <w:p>
      <w:pPr>
        <w:spacing w:after="60"/>
        <w:ind w:left="454"/>
      </w:pPr>
      <w:r>
        <w:rPr>
          <w:b/>
        </w:rPr>
        <w:t xml:space="preserve">1. </w:t>
      </w:r>
      <w:r>
        <w:rPr>
          <w:b w:val="0"/>
        </w:rPr>
        <w:t xml:space="preserve">The Information Manager issues a </w:t>
      </w:r>
      <w:r>
        <w:rPr>
          <w:b/>
        </w:rPr>
        <w:t>shared coordinates seed model</w:t>
      </w:r>
      <w:r>
        <w:rPr>
          <w:b w:val="0"/>
        </w:rPr>
        <w:t xml:space="preserve"> containing the survey point, project base point, true north and the levels and grids. It contains no other geometry.</w:t>
      </w:r>
    </w:p>
    <w:p>
      <w:pPr>
        <w:spacing w:after="60"/>
        <w:ind w:left="454"/>
      </w:pPr>
      <w:r>
        <w:rPr>
          <w:b/>
        </w:rPr>
        <w:t xml:space="preserve">2. </w:t>
      </w:r>
      <w:r>
        <w:rPr>
          <w:b w:val="0"/>
        </w:rPr>
        <w:t xml:space="preserve">Each appointed party starts its model from the issued project template and </w:t>
      </w:r>
      <w:r>
        <w:rPr>
          <w:b/>
        </w:rPr>
        <w:t>acquires coordinates</w:t>
      </w:r>
      <w:r>
        <w:rPr>
          <w:b w:val="0"/>
        </w:rPr>
        <w:t xml:space="preserve"> from the seed model. Nobody types coordinates in.</w:t>
      </w:r>
    </w:p>
    <w:p>
      <w:pPr>
        <w:spacing w:after="60"/>
        <w:ind w:left="454"/>
      </w:pPr>
      <w:r>
        <w:rPr>
          <w:b/>
        </w:rPr>
        <w:t xml:space="preserve">3. </w:t>
      </w:r>
      <w:r>
        <w:rPr>
          <w:b w:val="0"/>
        </w:rPr>
        <w:t xml:space="preserve">Models are linked to one another by </w:t>
      </w:r>
      <w:r>
        <w:rPr>
          <w:b/>
        </w:rPr>
        <w:t>shared coordinates</w:t>
      </w:r>
      <w:r>
        <w:rPr>
          <w:b w:val="0"/>
        </w:rPr>
        <w:t>, never by origin-to-origin or by hand positioning.</w:t>
      </w:r>
    </w:p>
    <w:p>
      <w:pPr>
        <w:spacing w:after="60"/>
        <w:ind w:left="454"/>
      </w:pPr>
      <w:r>
        <w:rPr>
          <w:b/>
        </w:rPr>
        <w:t xml:space="preserve">4. </w:t>
      </w:r>
      <w:r>
        <w:rPr>
          <w:b w:val="0"/>
        </w:rPr>
        <w:t xml:space="preserve">The project base point and survey point are </w:t>
      </w:r>
      <w:r>
        <w:rPr>
          <w:b/>
        </w:rPr>
        <w:t>pinned</w:t>
      </w:r>
      <w:r>
        <w:rPr>
          <w:b w:val="0"/>
        </w:rPr>
        <w:t>. Unpinning either is a change requiring the Information Manager’s agreement.</w:t>
      </w:r>
    </w:p>
    <w:p>
      <w:pPr>
        <w:spacing w:after="60"/>
        <w:ind w:left="454"/>
      </w:pPr>
      <w:r>
        <w:rPr>
          <w:b/>
        </w:rPr>
        <w:t xml:space="preserve">5. </w:t>
      </w:r>
      <w:r>
        <w:rPr>
          <w:b w:val="0"/>
        </w:rPr>
        <w:t>A model that reports a different survey point from the seed is rejected at the pre-share check, because every downstream federation and clash result would be wrong by that offset.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w:t>
            </w:r>
          </w:p>
          <w:p>
            <w:r>
              <w:rPr>
                <w:b w:val="0"/>
                <w:sz w:val="19"/>
              </w:rPr>
              <w:t>Do not defer this. A coordinate error found at Deliverable B costs a remodelling exercise across every discipline; found at mobilisation it costs an afternoon.</w:t>
            </w:r>
          </w:p>
        </w:tc>
      </w:tr>
    </w:tbl>
    <w:p>
      <w:pPr>
        <w:spacing w:after="40"/>
      </w:pPr>
    </w:p>
    <w:p>
      <w:pPr>
        <w:pStyle w:val="Heading2"/>
      </w:pPr>
      <w:r>
        <w:t>6.4  Level and grid register</w:t>
      </w:r>
    </w:p>
    <w:p>
      <w:r>
        <w:rPr>
          <w:b w:val="0"/>
          <w:i w:val="0"/>
        </w:rPr>
        <w:t>Levels and grids are issued in the template and in the seed model. Level codes appear in every container name, so a renamed level invalidates issued references.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7"/>
              </w:rPr>
              <w:t>Level code</w:t>
            </w:r>
          </w:p>
        </w:tc>
        <w:tc>
          <w:tcPr>
            <w:tcW w:type="dxa" w:w="2835"/>
            <w:shd w:val="clear" w:fill="E8EDF3"/>
          </w:tcPr>
          <w:p>
            <w:r/>
            <w:r>
              <w:rPr>
                <w:b/>
                <w:color w:val="1F3654"/>
                <w:sz w:val="17"/>
              </w:rPr>
              <w:t>Level name</w:t>
            </w:r>
          </w:p>
        </w:tc>
        <w:tc>
          <w:tcPr>
            <w:tcW w:type="dxa" w:w="2041"/>
            <w:shd w:val="clear" w:fill="E8EDF3"/>
          </w:tcPr>
          <w:p>
            <w:r/>
            <w:r>
              <w:rPr>
                <w:b/>
                <w:color w:val="1F3654"/>
                <w:sz w:val="17"/>
              </w:rPr>
              <w:t>Reduced level (m)</w:t>
            </w:r>
          </w:p>
        </w:tc>
        <w:tc>
          <w:tcPr>
            <w:tcW w:type="dxa" w:w="3061"/>
            <w:shd w:val="clear" w:fill="E8EDF3"/>
          </w:tcPr>
          <w:p>
            <w:r/>
            <w:r>
              <w:rPr>
                <w:b/>
                <w:color w:val="1F3654"/>
                <w:sz w:val="17"/>
              </w:rPr>
              <w:t>Applies to volumes</w:t>
            </w:r>
          </w:p>
        </w:tc>
      </w:tr>
      <w:tr>
        <w:tc>
          <w:tcPr>
            <w:tcW w:type="dxa" w:w="1474"/>
          </w:tcPr>
          <w:p>
            <w:pPr>
              <w:spacing w:after="40"/>
            </w:pPr>
            <w:r>
              <w:rPr>
                <w:sz w:val="17"/>
              </w:rPr>
            </w:r>
            <w:r>
              <w:rPr>
                <w:b w:val="0"/>
                <w:sz w:val="17"/>
              </w:rPr>
              <w:t>[FILL]</w:t>
            </w:r>
          </w:p>
        </w:tc>
        <w:tc>
          <w:tcPr>
            <w:tcW w:type="dxa" w:w="2835"/>
          </w:tcPr>
          <w:p>
            <w:pPr>
              <w:spacing w:after="40"/>
            </w:pPr>
            <w:r>
              <w:rPr>
                <w:sz w:val="17"/>
              </w:rPr>
            </w:r>
            <w:r>
              <w:rPr>
                <w:b w:val="0"/>
                <w:sz w:val="17"/>
              </w:rPr>
              <w:t>[FILL]</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B1</w:t>
            </w:r>
          </w:p>
        </w:tc>
        <w:tc>
          <w:tcPr>
            <w:tcW w:type="dxa" w:w="2835"/>
          </w:tcPr>
          <w:p>
            <w:pPr>
              <w:spacing w:after="40"/>
            </w:pPr>
            <w:r>
              <w:rPr>
                <w:sz w:val="17"/>
              </w:rPr>
            </w:r>
            <w:r>
              <w:rPr>
                <w:b w:val="0"/>
                <w:sz w:val="17"/>
              </w:rPr>
              <w:t>Basement 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GF</w:t>
            </w:r>
          </w:p>
        </w:tc>
        <w:tc>
          <w:tcPr>
            <w:tcW w:type="dxa" w:w="2835"/>
          </w:tcPr>
          <w:p>
            <w:pPr>
              <w:spacing w:after="40"/>
            </w:pPr>
            <w:r>
              <w:rPr>
                <w:sz w:val="17"/>
              </w:rPr>
            </w:r>
            <w:r>
              <w:rPr>
                <w:b w:val="0"/>
                <w:sz w:val="17"/>
              </w:rPr>
              <w:t>Ground Floor</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01</w:t>
            </w:r>
          </w:p>
        </w:tc>
        <w:tc>
          <w:tcPr>
            <w:tcW w:type="dxa" w:w="2835"/>
          </w:tcPr>
          <w:p>
            <w:pPr>
              <w:spacing w:after="40"/>
            </w:pPr>
            <w:r>
              <w:rPr>
                <w:sz w:val="17"/>
              </w:rPr>
            </w:r>
            <w:r>
              <w:rPr>
                <w:b w:val="0"/>
                <w:sz w:val="17"/>
              </w:rPr>
              <w:t>Level 01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RF</w:t>
            </w:r>
          </w:p>
        </w:tc>
        <w:tc>
          <w:tcPr>
            <w:tcW w:type="dxa" w:w="2835"/>
          </w:tcPr>
          <w:p>
            <w:pPr>
              <w:spacing w:after="40"/>
            </w:pPr>
            <w:r>
              <w:rPr>
                <w:sz w:val="17"/>
              </w:rPr>
            </w:r>
            <w:r>
              <w:rPr>
                <w:b w:val="0"/>
                <w:sz w:val="17"/>
              </w:rPr>
              <w:t>Roof</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LEVELS ACROSS VOLUMES</w:t>
            </w:r>
          </w:p>
          <w:p>
            <w:r>
              <w:rPr>
                <w:b w:val="0"/>
                <w:sz w:val="19"/>
              </w:rPr>
              <w:t>Volumes may have different floor-to-floor arrangements. Where a level exists in one volume and not another, it is still named once, project-wide, and simply not used where it does not apply. Two volumes must never use the same level code for different elevations.</w:t>
            </w:r>
          </w:p>
        </w:tc>
      </w:tr>
    </w:tbl>
    <w:p>
      <w:pPr>
        <w:spacing w:after="40"/>
      </w:pPr>
    </w:p>
    <w:p>
      <w:pPr>
        <w:pStyle w:val="Heading2"/>
      </w:pPr>
      <w:r>
        <w:t>6.5  Software and version register</w:t>
      </w:r>
    </w:p>
    <w:p>
      <w:r>
        <w:rPr>
          <w:b w:val="0"/>
          <w:i w:val="0"/>
        </w:rPr>
        <w:t>All appointed parties author in the same major version for the duration of a stage. A version change is made only at a stage boundary and only by agreement, because an upgraded model cannot be reopened in the earlier version.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268"/>
            <w:shd w:val="clear" w:fill="E8EDF3"/>
          </w:tcPr>
          <w:p>
            <w:r/>
            <w:r>
              <w:rPr>
                <w:b/>
                <w:color w:val="1F3654"/>
                <w:sz w:val="17"/>
              </w:rPr>
              <w:t>Function</w:t>
            </w:r>
          </w:p>
        </w:tc>
        <w:tc>
          <w:tcPr>
            <w:tcW w:type="dxa" w:w="4535"/>
            <w:shd w:val="clear" w:fill="E8EDF3"/>
          </w:tcPr>
          <w:p>
            <w:r/>
            <w:r>
              <w:rPr>
                <w:b/>
                <w:color w:val="1F3654"/>
                <w:sz w:val="17"/>
              </w:rPr>
              <w:t>Software and version</w:t>
            </w:r>
          </w:p>
        </w:tc>
        <w:tc>
          <w:tcPr>
            <w:tcW w:type="dxa" w:w="2608"/>
            <w:shd w:val="clear" w:fill="E8EDF3"/>
          </w:tcPr>
          <w:p>
            <w:r/>
            <w:r>
              <w:rPr>
                <w:b/>
                <w:color w:val="1F3654"/>
                <w:sz w:val="17"/>
              </w:rPr>
              <w:t>Party</w:t>
            </w:r>
          </w:p>
        </w:tc>
      </w:tr>
      <w:tr>
        <w:tc>
          <w:tcPr>
            <w:tcW w:type="dxa" w:w="2268"/>
          </w:tcPr>
          <w:p>
            <w:pPr>
              <w:spacing w:after="40"/>
            </w:pPr>
            <w:r>
              <w:rPr>
                <w:sz w:val="17"/>
              </w:rPr>
            </w:r>
            <w:r>
              <w:rPr>
                <w:b w:val="0"/>
                <w:sz w:val="17"/>
              </w:rPr>
              <w:t>Model authoring</w:t>
            </w:r>
          </w:p>
        </w:tc>
        <w:tc>
          <w:tcPr>
            <w:tcW w:type="dxa" w:w="4535"/>
          </w:tcPr>
          <w:p>
            <w:pPr>
              <w:spacing w:after="40"/>
            </w:pPr>
            <w:r>
              <w:rPr>
                <w:sz w:val="17"/>
              </w:rPr>
            </w:r>
            <w:r>
              <w:rPr>
                <w:b w:val="0"/>
                <w:sz w:val="17"/>
              </w:rPr>
              <w:t>[FILL — one Revit version, project-wide]</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Coordination</w:t>
            </w:r>
          </w:p>
        </w:tc>
        <w:tc>
          <w:tcPr>
            <w:tcW w:type="dxa" w:w="4535"/>
          </w:tcPr>
          <w:p>
            <w:pPr>
              <w:spacing w:after="40"/>
            </w:pPr>
            <w:r>
              <w:rPr>
                <w:sz w:val="17"/>
              </w:rPr>
            </w:r>
            <w:r>
              <w:rPr>
                <w:b w:val="0"/>
                <w:sz w:val="17"/>
              </w:rPr>
              <w:t>[FILL — Navisworks version]</w:t>
            </w:r>
          </w:p>
        </w:tc>
        <w:tc>
          <w:tcPr>
            <w:tcW w:type="dxa" w:w="2608"/>
          </w:tcPr>
          <w:p>
            <w:pPr>
              <w:spacing w:after="40"/>
            </w:pPr>
            <w:r>
              <w:rPr>
                <w:sz w:val="17"/>
              </w:rPr>
            </w:r>
            <w:r>
              <w:rPr>
                <w:b w:val="0"/>
                <w:sz w:val="17"/>
              </w:rPr>
              <w:t>Information Manager</w:t>
            </w:r>
          </w:p>
        </w:tc>
      </w:tr>
      <w:tr>
        <w:tc>
          <w:tcPr>
            <w:tcW w:type="dxa" w:w="2268"/>
          </w:tcPr>
          <w:p>
            <w:pPr>
              <w:spacing w:after="40"/>
            </w:pPr>
            <w:r>
              <w:rPr>
                <w:sz w:val="17"/>
              </w:rPr>
            </w:r>
            <w:r>
              <w:rPr>
                <w:b w:val="0"/>
                <w:sz w:val="17"/>
              </w:rPr>
              <w:t>Common Data Environment</w:t>
            </w:r>
          </w:p>
        </w:tc>
        <w:tc>
          <w:tcPr>
            <w:tcW w:type="dxa" w:w="4535"/>
          </w:tcPr>
          <w:p>
            <w:pPr>
              <w:spacing w:after="40"/>
            </w:pPr>
            <w:r>
              <w:rPr>
                <w:sz w:val="17"/>
              </w:rPr>
            </w:r>
            <w:r>
              <w:rPr>
                <w:b w:val="0"/>
                <w:sz w:val="17"/>
              </w:rPr>
              <w:t>Autodesk Construction Cloud (evergreen)</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Design review</w:t>
            </w:r>
          </w:p>
        </w:tc>
        <w:tc>
          <w:tcPr>
            <w:tcW w:type="dxa" w:w="4535"/>
          </w:tcPr>
          <w:p>
            <w:pPr>
              <w:spacing w:after="40"/>
            </w:pPr>
            <w:r>
              <w:rPr>
                <w:sz w:val="17"/>
              </w:rPr>
            </w:r>
            <w:r>
              <w:rPr>
                <w:b w:val="0"/>
                <w:sz w:val="17"/>
              </w:rPr>
              <w:t>Bluebeam [FILL]</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Specifications</w:t>
            </w:r>
          </w:p>
        </w:tc>
        <w:tc>
          <w:tcPr>
            <w:tcW w:type="dxa" w:w="4535"/>
          </w:tcPr>
          <w:p>
            <w:pPr>
              <w:spacing w:after="40"/>
            </w:pPr>
            <w:r>
              <w:rPr>
                <w:sz w:val="17"/>
              </w:rPr>
            </w:r>
            <w:r>
              <w:rPr>
                <w:b w:val="0"/>
                <w:sz w:val="17"/>
              </w:rPr>
              <w:t>RIB SpecLink [FILL]</w:t>
            </w:r>
          </w:p>
        </w:tc>
        <w:tc>
          <w:tcPr>
            <w:tcW w:type="dxa" w:w="2608"/>
          </w:tcPr>
          <w:p>
            <w:pPr>
              <w:spacing w:after="40"/>
            </w:pPr>
            <w:r>
              <w:rPr>
                <w:sz w:val="17"/>
              </w:rPr>
            </w:r>
            <w:r>
              <w:rPr>
                <w:b w:val="0"/>
                <w:sz w:val="17"/>
              </w:rPr>
              <w:t>Specification lead</w:t>
            </w:r>
          </w:p>
        </w:tc>
      </w:tr>
      <w:tr>
        <w:tc>
          <w:tcPr>
            <w:tcW w:type="dxa" w:w="2268"/>
          </w:tcPr>
          <w:p>
            <w:pPr>
              <w:spacing w:after="40"/>
            </w:pPr>
            <w:r>
              <w:rPr>
                <w:sz w:val="17"/>
              </w:rPr>
            </w:r>
            <w:r>
              <w:rPr>
                <w:b w:val="0"/>
                <w:sz w:val="17"/>
              </w:rPr>
              <w:t>FF&amp;E and O&amp;M</w:t>
            </w:r>
          </w:p>
        </w:tc>
        <w:tc>
          <w:tcPr>
            <w:tcW w:type="dxa" w:w="4535"/>
          </w:tcPr>
          <w:p>
            <w:pPr>
              <w:spacing w:after="40"/>
            </w:pPr>
            <w:r>
              <w:rPr>
                <w:sz w:val="17"/>
              </w:rPr>
            </w:r>
            <w:r>
              <w:rPr>
                <w:b w:val="0"/>
                <w:sz w:val="17"/>
              </w:rPr>
              <w:t>Fohlio (evergreen)</w:t>
            </w:r>
          </w:p>
        </w:tc>
        <w:tc>
          <w:tcPr>
            <w:tcW w:type="dxa" w:w="2608"/>
          </w:tcPr>
          <w:p>
            <w:pPr>
              <w:spacing w:after="40"/>
            </w:pPr>
            <w:r>
              <w:rPr>
                <w:sz w:val="17"/>
              </w:rPr>
            </w:r>
            <w:r>
              <w:rPr>
                <w:b w:val="0"/>
                <w:sz w:val="17"/>
              </w:rPr>
              <w:t>Interior Designer</w:t>
            </w:r>
          </w:p>
        </w:tc>
      </w:tr>
      <w:tr>
        <w:tc>
          <w:tcPr>
            <w:tcW w:type="dxa" w:w="2268"/>
          </w:tcPr>
          <w:p>
            <w:pPr>
              <w:spacing w:after="40"/>
            </w:pPr>
            <w:r>
              <w:rPr>
                <w:sz w:val="17"/>
              </w:rPr>
            </w:r>
            <w:r>
              <w:rPr>
                <w:b w:val="0"/>
                <w:sz w:val="17"/>
              </w:rPr>
              <w:t>Building management</w:t>
            </w:r>
          </w:p>
        </w:tc>
        <w:tc>
          <w:tcPr>
            <w:tcW w:type="dxa" w:w="4535"/>
          </w:tcPr>
          <w:p>
            <w:pPr>
              <w:spacing w:after="40"/>
            </w:pPr>
            <w:r>
              <w:rPr>
                <w:sz w:val="17"/>
              </w:rPr>
            </w:r>
            <w:r>
              <w:rPr>
                <w:b w:val="0"/>
                <w:sz w:val="17"/>
              </w:rPr>
              <w:t>Tridium Niagara [FILL]</w:t>
            </w:r>
          </w:p>
        </w:tc>
        <w:tc>
          <w:tcPr>
            <w:tcW w:type="dxa" w:w="2608"/>
          </w:tcPr>
          <w:p>
            <w:pPr>
              <w:spacing w:after="40"/>
            </w:pPr>
            <w:r>
              <w:rPr>
                <w:sz w:val="17"/>
              </w:rPr>
            </w:r>
            <w:r>
              <w:rPr>
                <w:b w:val="0"/>
                <w:sz w:val="17"/>
              </w:rPr>
              <w:t>Controls contractor</w:t>
            </w:r>
          </w:p>
        </w:tc>
      </w:tr>
      <w:tr>
        <w:tc>
          <w:tcPr>
            <w:tcW w:type="dxa" w:w="2268"/>
          </w:tcPr>
          <w:p>
            <w:pPr>
              <w:spacing w:after="40"/>
            </w:pPr>
            <w:r>
              <w:rPr>
                <w:sz w:val="17"/>
              </w:rPr>
            </w:r>
            <w:r>
              <w:rPr>
                <w:b w:val="0"/>
                <w:sz w:val="17"/>
              </w:rPr>
              <w:t>Analysis and calculation</w:t>
            </w:r>
          </w:p>
        </w:tc>
        <w:tc>
          <w:tcPr>
            <w:tcW w:type="dxa" w:w="4535"/>
          </w:tcPr>
          <w:p>
            <w:pPr>
              <w:spacing w:after="40"/>
            </w:pPr>
            <w:r>
              <w:rPr>
                <w:sz w:val="17"/>
              </w:rPr>
            </w:r>
            <w:r>
              <w:rPr>
                <w:b w:val="0"/>
                <w:sz w:val="17"/>
              </w:rPr>
              <w:t>[FILL — per discipline, with the standard each is configured to]</w:t>
            </w:r>
          </w:p>
        </w:tc>
        <w:tc>
          <w:tcPr>
            <w:tcW w:type="dxa" w:w="2608"/>
          </w:tcPr>
          <w:p>
            <w:pPr>
              <w:spacing w:after="40"/>
            </w:pPr>
            <w:r>
              <w:rPr>
                <w:sz w:val="17"/>
              </w:rPr>
            </w:r>
            <w:r>
              <w:rPr>
                <w:b w:val="0"/>
                <w:sz w:val="17"/>
              </w:rPr>
              <w:t>Each discipline</w:t>
            </w:r>
          </w:p>
        </w:tc>
      </w:tr>
    </w:tbl>
    <w:p>
      <w:pPr>
        <w:spacing w:after="40"/>
      </w:pP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3"/>
      </w:pPr>
      <w:r>
        <w:t>7.1.1  The cycle, by day</w:t>
      </w:r>
    </w:p>
    <w:p>
      <w:r>
        <w:rPr>
          <w:b w:val="0"/>
          <w:i w:val="0"/>
        </w:rPr>
        <w:t>A cadence stated only as an interval leaves every party guessing when their own deadline falls. The cycle runs to fixed days so that a task team knows, without asking, when it must have shared.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Day</w:t>
            </w:r>
          </w:p>
        </w:tc>
        <w:tc>
          <w:tcPr>
            <w:tcW w:type="dxa" w:w="2041"/>
            <w:shd w:val="clear" w:fill="E8EDF3"/>
          </w:tcPr>
          <w:p>
            <w:r/>
            <w:r>
              <w:rPr>
                <w:b/>
                <w:color w:val="1F3654"/>
                <w:sz w:val="17"/>
              </w:rPr>
              <w:t>Who</w:t>
            </w:r>
          </w:p>
        </w:tc>
        <w:tc>
          <w:tcPr>
            <w:tcW w:type="dxa" w:w="5669"/>
            <w:shd w:val="clear" w:fill="E8EDF3"/>
          </w:tcPr>
          <w:p>
            <w:r/>
            <w:r>
              <w:rPr>
                <w:b/>
                <w:color w:val="1F3654"/>
                <w:sz w:val="17"/>
              </w:rPr>
              <w:t>What</w:t>
            </w:r>
          </w:p>
        </w:tc>
      </w:tr>
      <w:tr>
        <w:tc>
          <w:tcPr>
            <w:tcW w:type="dxa" w:w="1701"/>
          </w:tcPr>
          <w:p>
            <w:pPr>
              <w:spacing w:after="40"/>
            </w:pPr>
            <w:r>
              <w:rPr>
                <w:sz w:val="17"/>
              </w:rPr>
            </w:r>
            <w:r>
              <w:rPr>
                <w:b w:val="0"/>
                <w:sz w:val="17"/>
              </w:rPr>
              <w:t>Tuesday, 16:00</w:t>
            </w:r>
          </w:p>
        </w:tc>
        <w:tc>
          <w:tcPr>
            <w:tcW w:type="dxa" w:w="2041"/>
          </w:tcPr>
          <w:p>
            <w:pPr>
              <w:spacing w:after="40"/>
            </w:pPr>
            <w:r>
              <w:rPr>
                <w:sz w:val="17"/>
              </w:rPr>
            </w:r>
            <w:r>
              <w:rPr>
                <w:b w:val="0"/>
                <w:sz w:val="17"/>
              </w:rPr>
              <w:t>Every task team</w:t>
            </w:r>
          </w:p>
        </w:tc>
        <w:tc>
          <w:tcPr>
            <w:tcW w:type="dxa" w:w="5669"/>
          </w:tcPr>
          <w:p>
            <w:pPr>
              <w:spacing w:after="40"/>
            </w:pPr>
            <w:r>
              <w:rPr>
                <w:sz w:val="17"/>
              </w:rPr>
            </w:r>
            <w:r>
              <w:rPr>
                <w:b w:val="0"/>
                <w:sz w:val="17"/>
              </w:rPr>
              <w:t>Work in progress closed and shared. Nothing shared after this time enters this cycle</w:t>
            </w:r>
          </w:p>
        </w:tc>
      </w:tr>
      <w:tr>
        <w:tc>
          <w:tcPr>
            <w:tcW w:type="dxa" w:w="1701"/>
          </w:tcPr>
          <w:p>
            <w:pPr>
              <w:spacing w:after="40"/>
            </w:pPr>
            <w:r>
              <w:rPr>
                <w:sz w:val="17"/>
              </w:rPr>
            </w:r>
            <w:r>
              <w:rPr>
                <w:b w:val="0"/>
                <w:sz w:val="17"/>
              </w:rPr>
              <w:t>Wednesday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Models federated, clash detection run, results grouped and assigned</w:t>
            </w:r>
          </w:p>
        </w:tc>
      </w:tr>
      <w:tr>
        <w:tc>
          <w:tcPr>
            <w:tcW w:type="dxa" w:w="1701"/>
          </w:tcPr>
          <w:p>
            <w:pPr>
              <w:spacing w:after="40"/>
            </w:pPr>
            <w:r>
              <w:rPr>
                <w:sz w:val="17"/>
              </w:rPr>
            </w:r>
            <w:r>
              <w:rPr>
                <w:b w:val="0"/>
                <w:sz w:val="17"/>
              </w:rPr>
              <w:t>Thursday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Coordination report issued, with the issue list for the session</w:t>
            </w:r>
          </w:p>
        </w:tc>
      </w:tr>
      <w:tr>
        <w:tc>
          <w:tcPr>
            <w:tcW w:type="dxa" w:w="1701"/>
          </w:tcPr>
          <w:p>
            <w:pPr>
              <w:spacing w:after="40"/>
            </w:pPr>
            <w:r>
              <w:rPr>
                <w:sz w:val="17"/>
              </w:rPr>
            </w:r>
            <w:r>
              <w:rPr>
                <w:b w:val="0"/>
                <w:sz w:val="17"/>
              </w:rPr>
              <w:t>Friday</w:t>
            </w:r>
          </w:p>
        </w:tc>
        <w:tc>
          <w:tcPr>
            <w:tcW w:type="dxa" w:w="2041"/>
          </w:tcPr>
          <w:p>
            <w:pPr>
              <w:spacing w:after="40"/>
            </w:pPr>
            <w:r>
              <w:rPr>
                <w:sz w:val="17"/>
              </w:rPr>
            </w:r>
            <w:r>
              <w:rPr>
                <w:b w:val="0"/>
                <w:sz w:val="17"/>
              </w:rPr>
              <w:t>All disciplines</w:t>
            </w:r>
          </w:p>
        </w:tc>
        <w:tc>
          <w:tcPr>
            <w:tcW w:type="dxa" w:w="5669"/>
          </w:tcPr>
          <w:p>
            <w:pPr>
              <w:spacing w:after="40"/>
            </w:pPr>
            <w:r>
              <w:rPr>
                <w:sz w:val="17"/>
              </w:rPr>
            </w:r>
            <w:r>
              <w:rPr>
                <w:b w:val="0"/>
                <w:sz w:val="17"/>
              </w:rPr>
              <w:t>Coordination session. Issues assigned, with owners and dates</w:t>
            </w:r>
          </w:p>
        </w:tc>
      </w:tr>
      <w:tr>
        <w:tc>
          <w:tcPr>
            <w:tcW w:type="dxa" w:w="1701"/>
          </w:tcPr>
          <w:p>
            <w:pPr>
              <w:spacing w:after="40"/>
            </w:pPr>
            <w:r>
              <w:rPr>
                <w:sz w:val="17"/>
              </w:rPr>
            </w:r>
            <w:r>
              <w:rPr>
                <w:b w:val="0"/>
                <w:sz w:val="17"/>
              </w:rPr>
              <w:t>The following week</w:t>
            </w:r>
          </w:p>
        </w:tc>
        <w:tc>
          <w:tcPr>
            <w:tcW w:type="dxa" w:w="2041"/>
          </w:tcPr>
          <w:p>
            <w:pPr>
              <w:spacing w:after="40"/>
            </w:pPr>
            <w:r>
              <w:rPr>
                <w:sz w:val="17"/>
              </w:rPr>
            </w:r>
            <w:r>
              <w:rPr>
                <w:b w:val="0"/>
                <w:sz w:val="17"/>
              </w:rPr>
              <w:t>Task teams</w:t>
            </w:r>
          </w:p>
        </w:tc>
        <w:tc>
          <w:tcPr>
            <w:tcW w:type="dxa" w:w="5669"/>
          </w:tcPr>
          <w:p>
            <w:pPr>
              <w:spacing w:after="40"/>
            </w:pPr>
            <w:r>
              <w:rPr>
                <w:sz w:val="17"/>
              </w:rPr>
            </w:r>
            <w:r>
              <w:rPr>
                <w:b w:val="0"/>
                <w:sz w:val="17"/>
              </w:rPr>
              <w:t>Issues resolved in the work in progress area, ready for the next Tuesday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WHY THE REPORT COMES FIRST</w:t>
            </w:r>
          </w:p>
          <w:p>
            <w:r>
              <w:rPr>
                <w:b w:val="0"/>
                <w:sz w:val="19"/>
              </w:rPr>
              <w:t>The report is issued a full day before the session. A coordination session where the attendees are reading the report for the first time is a reading exercise, not a coordination meeting.</w:t>
            </w:r>
          </w:p>
        </w:tc>
      </w:tr>
    </w:tbl>
    <w:p>
      <w:pPr>
        <w:spacing w:after="40"/>
      </w:pPr>
    </w:p>
    <w:p>
      <w:pPr>
        <w:pStyle w:val="Heading2"/>
      </w:pPr>
      <w:r>
        <w:t>7.1.2  Information exchange calendar</w:t>
      </w:r>
    </w:p>
    <w:p>
      <w:r>
        <w:rPr>
          <w:b w:val="0"/>
          <w:i w:val="0"/>
        </w:rPr>
        <w:t>Every exchange on the project, and the deadline that governs it. Dates are fixed against the appointment date once confirmed; the Master Information Delivery Plan carries them per deliverable.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041"/>
            <w:shd w:val="clear" w:fill="E8EDF3"/>
          </w:tcPr>
          <w:p>
            <w:r/>
            <w:r>
              <w:rPr>
                <w:b/>
                <w:color w:val="1F3654"/>
                <w:sz w:val="16"/>
              </w:rPr>
              <w:t>Exchange</w:t>
            </w:r>
          </w:p>
        </w:tc>
        <w:tc>
          <w:tcPr>
            <w:tcW w:type="dxa" w:w="1361"/>
            <w:shd w:val="clear" w:fill="E8EDF3"/>
          </w:tcPr>
          <w:p>
            <w:r/>
            <w:r>
              <w:rPr>
                <w:b/>
                <w:color w:val="1F3654"/>
                <w:sz w:val="16"/>
              </w:rPr>
              <w:t>Frequency</w:t>
            </w:r>
          </w:p>
        </w:tc>
        <w:tc>
          <w:tcPr>
            <w:tcW w:type="dxa" w:w="1928"/>
            <w:shd w:val="clear" w:fill="E8EDF3"/>
          </w:tcPr>
          <w:p>
            <w:r/>
            <w:r>
              <w:rPr>
                <w:b/>
                <w:color w:val="1F3654"/>
                <w:sz w:val="16"/>
              </w:rPr>
              <w:t>Deadline</w:t>
            </w:r>
          </w:p>
        </w:tc>
        <w:tc>
          <w:tcPr>
            <w:tcW w:type="dxa" w:w="1247"/>
            <w:shd w:val="clear" w:fill="E8EDF3"/>
          </w:tcPr>
          <w:p>
            <w:r/>
            <w:r>
              <w:rPr>
                <w:b/>
                <w:color w:val="1F3654"/>
                <w:sz w:val="16"/>
              </w:rPr>
              <w:t>Suitability</w:t>
            </w:r>
          </w:p>
        </w:tc>
        <w:tc>
          <w:tcPr>
            <w:tcW w:type="dxa" w:w="2835"/>
            <w:shd w:val="clear" w:fill="E8EDF3"/>
          </w:tcPr>
          <w:p>
            <w:r/>
            <w:r>
              <w:rPr>
                <w:b/>
                <w:color w:val="1F3654"/>
                <w:sz w:val="16"/>
              </w:rPr>
              <w:t>Recipient</w:t>
            </w:r>
          </w:p>
        </w:tc>
      </w:tr>
      <w:tr>
        <w:tc>
          <w:tcPr>
            <w:tcW w:type="dxa" w:w="2041"/>
          </w:tcPr>
          <w:p>
            <w:pPr>
              <w:spacing w:after="40"/>
            </w:pPr>
            <w:r>
              <w:rPr>
                <w:sz w:val="16"/>
              </w:rPr>
            </w:r>
            <w:r>
              <w:rPr>
                <w:b w:val="0"/>
                <w:sz w:val="16"/>
              </w:rPr>
              <w:t>Coordination share</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Tuesday 16:00</w:t>
            </w:r>
          </w:p>
        </w:tc>
        <w:tc>
          <w:tcPr>
            <w:tcW w:type="dxa" w:w="1247"/>
          </w:tcPr>
          <w:p>
            <w:pPr>
              <w:spacing w:after="40"/>
            </w:pPr>
            <w:r>
              <w:rPr>
                <w:sz w:val="16"/>
              </w:rPr>
            </w:r>
            <w:r>
              <w:rPr>
                <w:b w:val="0"/>
                <w:sz w:val="16"/>
              </w:rPr>
              <w:t>S1</w:t>
            </w:r>
          </w:p>
        </w:tc>
        <w:tc>
          <w:tcPr>
            <w:tcW w:type="dxa" w:w="2835"/>
          </w:tcPr>
          <w:p>
            <w:pPr>
              <w:spacing w:after="40"/>
            </w:pPr>
            <w:r>
              <w:rPr>
                <w:sz w:val="16"/>
              </w:rPr>
            </w:r>
            <w:r>
              <w:rPr>
                <w:b w:val="0"/>
                <w:sz w:val="16"/>
              </w:rPr>
              <w:t>Information Manager</w:t>
            </w:r>
          </w:p>
        </w:tc>
      </w:tr>
      <w:tr>
        <w:tc>
          <w:tcPr>
            <w:tcW w:type="dxa" w:w="2041"/>
          </w:tcPr>
          <w:p>
            <w:pPr>
              <w:spacing w:after="40"/>
            </w:pPr>
            <w:r>
              <w:rPr>
                <w:sz w:val="16"/>
              </w:rPr>
            </w:r>
            <w:r>
              <w:rPr>
                <w:b w:val="0"/>
                <w:sz w:val="16"/>
              </w:rPr>
              <w:t>Coordination report</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Thursday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All task teams</w:t>
            </w:r>
          </w:p>
        </w:tc>
      </w:tr>
      <w:tr>
        <w:tc>
          <w:tcPr>
            <w:tcW w:type="dxa" w:w="2041"/>
          </w:tcPr>
          <w:p>
            <w:pPr>
              <w:spacing w:after="40"/>
            </w:pPr>
            <w:r>
              <w:rPr>
                <w:sz w:val="16"/>
              </w:rPr>
            </w:r>
            <w:r>
              <w:rPr>
                <w:b w:val="0"/>
                <w:sz w:val="16"/>
              </w:rPr>
              <w:t>Progress note</w:t>
            </w:r>
          </w:p>
        </w:tc>
        <w:tc>
          <w:tcPr>
            <w:tcW w:type="dxa" w:w="1361"/>
          </w:tcPr>
          <w:p>
            <w:pPr>
              <w:spacing w:after="40"/>
            </w:pPr>
            <w:r>
              <w:rPr>
                <w:sz w:val="16"/>
              </w:rPr>
            </w:r>
            <w:r>
              <w:rPr>
                <w:b w:val="0"/>
                <w:sz w:val="16"/>
              </w:rPr>
              <w:t>Weekly</w:t>
            </w:r>
          </w:p>
        </w:tc>
        <w:tc>
          <w:tcPr>
            <w:tcW w:type="dxa" w:w="1928"/>
          </w:tcPr>
          <w:p>
            <w:pPr>
              <w:spacing w:after="40"/>
            </w:pPr>
            <w:r>
              <w:rPr>
                <w:sz w:val="16"/>
              </w:rPr>
            </w:r>
            <w:r>
              <w:rPr>
                <w:b w:val="0"/>
                <w:sz w:val="16"/>
              </w:rPr>
              <w:t>Friday</w:t>
            </w:r>
          </w:p>
        </w:tc>
        <w:tc>
          <w:tcPr>
            <w:tcW w:type="dxa" w:w="1247"/>
          </w:tcPr>
          <w:p>
            <w:pPr>
              <w:spacing w:after="40"/>
            </w:pPr>
            <w:r>
              <w:rPr>
                <w:sz w:val="16"/>
              </w:rPr>
            </w:r>
            <w:r>
              <w:rPr>
                <w:b w:val="0"/>
                <w:sz w:val="16"/>
              </w:rPr>
              <w:t>—</w:t>
            </w:r>
          </w:p>
        </w:tc>
        <w:tc>
          <w:tcPr>
            <w:tcW w:type="dxa" w:w="2835"/>
          </w:tcPr>
          <w:p>
            <w:pPr>
              <w:spacing w:after="40"/>
            </w:pPr>
            <w:r>
              <w:rPr>
                <w:sz w:val="16"/>
              </w:rPr>
            </w:r>
            <w:r>
              <w:rPr>
                <w:b w:val="0"/>
                <w:sz w:val="16"/>
              </w:rPr>
              <w:t>Lead Appointed Party</w:t>
            </w:r>
          </w:p>
        </w:tc>
      </w:tr>
      <w:tr>
        <w:tc>
          <w:tcPr>
            <w:tcW w:type="dxa" w:w="2041"/>
          </w:tcPr>
          <w:p>
            <w:pPr>
              <w:spacing w:after="40"/>
            </w:pPr>
            <w:r>
              <w:rPr>
                <w:sz w:val="16"/>
              </w:rPr>
            </w:r>
            <w:r>
              <w:rPr>
                <w:b w:val="0"/>
                <w:sz w:val="16"/>
              </w:rPr>
              <w:t>Status report</w:t>
            </w:r>
          </w:p>
        </w:tc>
        <w:tc>
          <w:tcPr>
            <w:tcW w:type="dxa" w:w="1361"/>
          </w:tcPr>
          <w:p>
            <w:pPr>
              <w:spacing w:after="40"/>
            </w:pPr>
            <w:r>
              <w:rPr>
                <w:sz w:val="16"/>
              </w:rPr>
            </w:r>
            <w:r>
              <w:rPr>
                <w:b w:val="0"/>
                <w:sz w:val="16"/>
              </w:rPr>
              <w:t>Monthly</w:t>
            </w:r>
          </w:p>
        </w:tc>
        <w:tc>
          <w:tcPr>
            <w:tcW w:type="dxa" w:w="1928"/>
          </w:tcPr>
          <w:p>
            <w:pPr>
              <w:spacing w:after="40"/>
            </w:pPr>
            <w:r>
              <w:rPr>
                <w:sz w:val="16"/>
              </w:rPr>
            </w:r>
            <w:r>
              <w:rPr>
                <w:b w:val="0"/>
                <w:sz w:val="16"/>
              </w:rPr>
              <w:t>Last working 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 and Lead</w:t>
            </w:r>
          </w:p>
        </w:tc>
      </w:tr>
      <w:tr>
        <w:tc>
          <w:tcPr>
            <w:tcW w:type="dxa" w:w="2041"/>
          </w:tcPr>
          <w:p>
            <w:pPr>
              <w:spacing w:after="40"/>
            </w:pPr>
            <w:r>
              <w:rPr>
                <w:sz w:val="16"/>
              </w:rPr>
            </w:r>
            <w:r>
              <w:rPr>
                <w:b w:val="0"/>
                <w:sz w:val="16"/>
              </w:rPr>
              <w:t>Data drop</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Per the delivery plan</w:t>
            </w:r>
          </w:p>
        </w:tc>
        <w:tc>
          <w:tcPr>
            <w:tcW w:type="dxa" w:w="1247"/>
          </w:tcPr>
          <w:p>
            <w:pPr>
              <w:spacing w:after="40"/>
            </w:pPr>
            <w:r>
              <w:rPr>
                <w:sz w:val="16"/>
              </w:rPr>
            </w:r>
            <w:r>
              <w:rPr>
                <w:b w:val="0"/>
                <w:sz w:val="16"/>
              </w:rPr>
              <w:t>S4 then A1</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Owner review set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With the data drop</w:t>
            </w:r>
          </w:p>
        </w:tc>
        <w:tc>
          <w:tcPr>
            <w:tcW w:type="dxa" w:w="1247"/>
          </w:tcPr>
          <w:p>
            <w:pPr>
              <w:spacing w:after="40"/>
            </w:pPr>
            <w:r>
              <w:rPr>
                <w:sz w:val="16"/>
              </w:rPr>
            </w:r>
            <w:r>
              <w:rPr>
                <w:b w:val="0"/>
                <w:sz w:val="16"/>
              </w:rPr>
              <w:t>S3</w:t>
            </w:r>
          </w:p>
        </w:tc>
        <w:tc>
          <w:tcPr>
            <w:tcW w:type="dxa" w:w="2835"/>
          </w:tcPr>
          <w:p>
            <w:pPr>
              <w:spacing w:after="40"/>
            </w:pPr>
            <w:r>
              <w:rPr>
                <w:sz w:val="16"/>
              </w:rPr>
            </w:r>
            <w:r>
              <w:rPr>
                <w:b w:val="0"/>
                <w:sz w:val="16"/>
              </w:rPr>
              <w:t>Appointing Party — two-week review window</w:t>
            </w:r>
          </w:p>
        </w:tc>
      </w:tr>
      <w:tr>
        <w:tc>
          <w:tcPr>
            <w:tcW w:type="dxa" w:w="2041"/>
          </w:tcPr>
          <w:p>
            <w:pPr>
              <w:spacing w:after="40"/>
            </w:pPr>
            <w:r>
              <w:rPr>
                <w:sz w:val="16"/>
              </w:rPr>
            </w:r>
            <w:r>
              <w:rPr>
                <w:b w:val="0"/>
                <w:sz w:val="16"/>
              </w:rPr>
              <w:t>Comment close-out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Before the gate</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Gate pack</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At the gate</w:t>
            </w:r>
          </w:p>
        </w:tc>
        <w:tc>
          <w:tcPr>
            <w:tcW w:type="dxa" w:w="1247"/>
          </w:tcPr>
          <w:p>
            <w:pPr>
              <w:spacing w:after="40"/>
            </w:pPr>
            <w:r>
              <w:rPr>
                <w:sz w:val="16"/>
              </w:rPr>
            </w:r>
            <w:r>
              <w:rPr>
                <w:b w:val="0"/>
                <w:sz w:val="16"/>
              </w:rPr>
              <w:t>S4</w:t>
            </w:r>
          </w:p>
        </w:tc>
        <w:tc>
          <w:tcPr>
            <w:tcW w:type="dxa" w:w="2835"/>
          </w:tcPr>
          <w:p>
            <w:pPr>
              <w:spacing w:after="40"/>
            </w:pPr>
            <w:r>
              <w:rPr>
                <w:sz w:val="16"/>
              </w:rPr>
            </w:r>
            <w:r>
              <w:rPr>
                <w:b w:val="0"/>
                <w:sz w:val="16"/>
              </w:rPr>
              <w:t>Appointing Party</w:t>
            </w:r>
          </w:p>
        </w:tc>
      </w:tr>
    </w:tbl>
    <w:p>
      <w:pPr>
        <w:spacing w:after="40"/>
      </w:pPr>
    </w:p>
    <w:p>
      <w:pPr>
        <w:pStyle w:val="Heading2"/>
      </w:pPr>
      <w:r>
        <w:t>7.2  Model breakdown and federation</w:t>
      </w:r>
    </w:p>
    <w:p>
      <w:r>
        <w:rPr>
          <w:b w:val="0"/>
          <w:i w:val="0"/>
        </w:rPr>
        <w:t>How the project is divided into models, and how they are recombined. The division follows the volumes in Section 1.3 and the disciplines in Section 4.2, so that a model can always be identified from its container name alone.</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Division rule</w:t>
            </w:r>
          </w:p>
        </w:tc>
        <w:tc>
          <w:tcPr>
            <w:tcW w:type="dxa" w:w="7257"/>
          </w:tcPr>
          <w:p>
            <w:pPr>
              <w:spacing w:after="40"/>
            </w:pPr>
            <w:r>
              <w:rPr>
                <w:sz w:val="17"/>
              </w:rPr>
            </w:r>
            <w:r>
              <w:rPr>
                <w:b w:val="0"/>
                <w:sz w:val="17"/>
              </w:rPr>
              <w:t>One model per volume per discipline. A discipline covering several volumes produces several models, not one large one</w:t>
            </w:r>
          </w:p>
        </w:tc>
      </w:tr>
      <w:tr>
        <w:tc>
          <w:tcPr>
            <w:tcW w:type="dxa" w:w="2154"/>
          </w:tcPr>
          <w:p>
            <w:pPr>
              <w:spacing w:after="40"/>
            </w:pPr>
            <w:r>
              <w:rPr>
                <w:sz w:val="17"/>
              </w:rPr>
            </w:r>
            <w:r>
              <w:rPr>
                <w:b w:val="0"/>
                <w:sz w:val="17"/>
              </w:rPr>
              <w:t>Naming</w:t>
            </w:r>
          </w:p>
        </w:tc>
        <w:tc>
          <w:tcPr>
            <w:tcW w:type="dxa" w:w="7257"/>
          </w:tcPr>
          <w:p>
            <w:pPr>
              <w:spacing w:after="40"/>
            </w:pPr>
            <w:r>
              <w:rPr>
                <w:sz w:val="17"/>
              </w:rPr>
            </w:r>
            <w:r>
              <w:rPr>
                <w:b w:val="0"/>
                <w:sz w:val="17"/>
              </w:rPr>
              <w:t>Per Section 4.2; the volume and role fields identify the model</w:t>
            </w:r>
          </w:p>
        </w:tc>
      </w:tr>
      <w:tr>
        <w:tc>
          <w:tcPr>
            <w:tcW w:type="dxa" w:w="2154"/>
          </w:tcPr>
          <w:p>
            <w:pPr>
              <w:spacing w:after="40"/>
            </w:pPr>
            <w:r>
              <w:rPr>
                <w:sz w:val="17"/>
              </w:rPr>
            </w:r>
            <w:r>
              <w:rPr>
                <w:b w:val="0"/>
                <w:sz w:val="17"/>
              </w:rPr>
              <w:t>Maximum file size</w:t>
            </w:r>
          </w:p>
        </w:tc>
        <w:tc>
          <w:tcPr>
            <w:tcW w:type="dxa" w:w="7257"/>
          </w:tcPr>
          <w:p>
            <w:pPr>
              <w:spacing w:after="40"/>
            </w:pPr>
            <w:r>
              <w:rPr>
                <w:sz w:val="17"/>
              </w:rPr>
            </w:r>
            <w:r>
              <w:rPr>
                <w:b w:val="0"/>
                <w:sz w:val="17"/>
              </w:rPr>
              <w:t>[FILL — a working ceiling, typically 300 MB. State the action when exceeded: split by level, or by system]</w:t>
            </w:r>
          </w:p>
        </w:tc>
      </w:tr>
      <w:tr>
        <w:tc>
          <w:tcPr>
            <w:tcW w:type="dxa" w:w="2154"/>
          </w:tcPr>
          <w:p>
            <w:pPr>
              <w:spacing w:after="40"/>
            </w:pPr>
            <w:r>
              <w:rPr>
                <w:sz w:val="17"/>
              </w:rPr>
            </w:r>
            <w:r>
              <w:rPr>
                <w:b w:val="0"/>
                <w:sz w:val="17"/>
              </w:rPr>
              <w:t>Linking</w:t>
            </w:r>
          </w:p>
        </w:tc>
        <w:tc>
          <w:tcPr>
            <w:tcW w:type="dxa" w:w="7257"/>
          </w:tcPr>
          <w:p>
            <w:pPr>
              <w:spacing w:after="40"/>
            </w:pPr>
            <w:r>
              <w:rPr>
                <w:sz w:val="17"/>
              </w:rPr>
            </w:r>
            <w:r>
              <w:rPr>
                <w:b w:val="0"/>
                <w:sz w:val="17"/>
              </w:rPr>
              <w:t>By shared coordinates, pinned, never bound into the host</w:t>
            </w:r>
          </w:p>
        </w:tc>
      </w:tr>
      <w:tr>
        <w:tc>
          <w:tcPr>
            <w:tcW w:type="dxa" w:w="2154"/>
          </w:tcPr>
          <w:p>
            <w:pPr>
              <w:spacing w:after="40"/>
            </w:pPr>
            <w:r>
              <w:rPr>
                <w:sz w:val="17"/>
              </w:rPr>
            </w:r>
            <w:r>
              <w:rPr>
                <w:b w:val="0"/>
                <w:sz w:val="17"/>
              </w:rPr>
              <w:t>Site and shared model</w:t>
            </w:r>
          </w:p>
        </w:tc>
        <w:tc>
          <w:tcPr>
            <w:tcW w:type="dxa" w:w="7257"/>
          </w:tcPr>
          <w:p>
            <w:pPr>
              <w:spacing w:after="40"/>
            </w:pPr>
            <w:r>
              <w:rPr>
                <w:sz w:val="17"/>
              </w:rPr>
            </w:r>
            <w:r>
              <w:rPr>
                <w:b w:val="0"/>
                <w:sz w:val="17"/>
              </w:rPr>
              <w:t>The seed model (Section 6.3) carries survey point, levels and grids. Every model links it; nothing else is modelled in it</w:t>
            </w:r>
          </w:p>
        </w:tc>
      </w:tr>
      <w:tr>
        <w:tc>
          <w:tcPr>
            <w:tcW w:type="dxa" w:w="2154"/>
          </w:tcPr>
          <w:p>
            <w:pPr>
              <w:spacing w:after="40"/>
            </w:pPr>
            <w:r>
              <w:rPr>
                <w:sz w:val="17"/>
              </w:rPr>
            </w:r>
            <w:r>
              <w:rPr>
                <w:b w:val="0"/>
                <w:sz w:val="17"/>
              </w:rPr>
              <w:t>Federated model</w:t>
            </w:r>
          </w:p>
        </w:tc>
        <w:tc>
          <w:tcPr>
            <w:tcW w:type="dxa" w:w="7257"/>
          </w:tcPr>
          <w:p>
            <w:pPr>
              <w:spacing w:after="40"/>
            </w:pPr>
            <w:r>
              <w:rPr>
                <w:sz w:val="17"/>
              </w:rPr>
            </w:r>
            <w:r>
              <w:rPr>
                <w:b w:val="0"/>
                <w:sz w:val="17"/>
              </w:rPr>
              <w:t>Assembled by the Information Manager each cycle from the shared models. It is a derived container and is never authored in</w:t>
            </w:r>
          </w:p>
        </w:tc>
      </w:tr>
      <w:tr>
        <w:tc>
          <w:tcPr>
            <w:tcW w:type="dxa" w:w="2154"/>
          </w:tcPr>
          <w:p>
            <w:pPr>
              <w:spacing w:after="40"/>
            </w:pPr>
            <w:r>
              <w:rPr>
                <w:sz w:val="17"/>
              </w:rPr>
            </w:r>
            <w:r>
              <w:rPr>
                <w:b w:val="0"/>
                <w:sz w:val="17"/>
              </w:rPr>
              <w:t>Federation container</w:t>
            </w:r>
          </w:p>
        </w:tc>
        <w:tc>
          <w:tcPr>
            <w:tcW w:type="dxa" w:w="7257"/>
          </w:tcPr>
          <w:p>
            <w:pPr>
              <w:spacing w:after="40"/>
            </w:pPr>
            <w:r>
              <w:rPr>
                <w:sz w:val="17"/>
              </w:rPr>
            </w:r>
            <w:r>
              <w:rPr>
                <w:b w:val="0"/>
                <w:sz w:val="17"/>
              </w:rPr>
              <w:t>KUT-SMB-ZZ-ZZ-M3-Z-0001</w:t>
            </w:r>
          </w:p>
        </w:tc>
      </w:tr>
      <w:tr>
        <w:tc>
          <w:tcPr>
            <w:tcW w:type="dxa" w:w="2154"/>
          </w:tcPr>
          <w:p>
            <w:pPr>
              <w:spacing w:after="40"/>
            </w:pPr>
            <w:r>
              <w:rPr>
                <w:sz w:val="17"/>
              </w:rPr>
            </w:r>
            <w:r>
              <w:rPr>
                <w:b w:val="0"/>
                <w:sz w:val="17"/>
              </w:rPr>
              <w:t>Cross-discipline hosting</w:t>
            </w:r>
          </w:p>
        </w:tc>
        <w:tc>
          <w:tcPr>
            <w:tcW w:type="dxa" w:w="7257"/>
          </w:tcPr>
          <w:p>
            <w:pPr>
              <w:spacing w:after="40"/>
            </w:pPr>
            <w:r>
              <w:rPr>
                <w:sz w:val="17"/>
              </w:rPr>
            </w:r>
            <w:r>
              <w:rPr>
                <w:b w:val="0"/>
                <w:sz w:val="17"/>
              </w:rPr>
              <w:t>An element is hosted in the model of the discipline responsible for it. A discipline does not host elements in another discipline’s model</w:t>
            </w:r>
          </w:p>
        </w:tc>
      </w:tr>
      <w:tr>
        <w:tc>
          <w:tcPr>
            <w:tcW w:type="dxa" w:w="2154"/>
          </w:tcPr>
          <w:p>
            <w:pPr>
              <w:spacing w:after="40"/>
            </w:pPr>
            <w:r>
              <w:rPr>
                <w:sz w:val="17"/>
              </w:rPr>
            </w:r>
            <w:r>
              <w:rPr>
                <w:b w:val="0"/>
                <w:sz w:val="17"/>
              </w:rPr>
              <w:t>Copy/monitor</w:t>
            </w:r>
          </w:p>
        </w:tc>
        <w:tc>
          <w:tcPr>
            <w:tcW w:type="dxa" w:w="7257"/>
          </w:tcPr>
          <w:p>
            <w:pPr>
              <w:spacing w:after="40"/>
            </w:pPr>
            <w:r>
              <w:rPr>
                <w:sz w:val="17"/>
              </w:rPr>
            </w:r>
            <w:r>
              <w:rPr>
                <w:b w:val="0"/>
                <w:sz w:val="17"/>
              </w:rPr>
              <w:t>[FILL — state which elements are copy/monitored between models: levels and grids always; state whether structural elements 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OWNERSHIP OF ELEMENTS</w:t>
            </w:r>
          </w:p>
          <w:p>
            <w:r>
              <w:rPr>
                <w:b w:val="0"/>
                <w:sz w:val="19"/>
              </w:rPr>
              <w:t>The largest cause of unusable federated models is a discipline modelling outside its own container — a mechanical contractor placing builders-work openings in the structural model, for example. Where an element crosses responsibility, the owning discipline models it and the other coordinates against it.</w:t>
            </w:r>
          </w:p>
        </w:tc>
      </w:tr>
    </w:tbl>
    <w:p>
      <w:pPr>
        <w:spacing w:after="40"/>
      </w:pPr>
    </w:p>
    <w:p>
      <w:pPr>
        <w:pStyle w:val="Heading2"/>
      </w:pPr>
      <w:r>
        <w:t>7.3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Section 7.3.1</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Section 7.3.2</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3"/>
      </w:pPr>
      <w:r>
        <w:t>7.3.1  Clash matrix</w:t>
      </w:r>
    </w:p>
    <w:p>
      <w:r>
        <w:rPr>
          <w:b w:val="0"/>
          <w:i w:val="0"/>
        </w:rPr>
        <w:t>Which discipline model is tested against which. **T** = tested every cycle · **G** = tested at gates only · **–** = not tested. Complete at the mobilisation coordination workshop.</w:t>
      </w:r>
    </w:p>
    <w:tbl>
      <w:tblPr>
        <w:tblStyle w:val="TableGrid"/>
        <w:tblW w:type="auto" w:w="0"/>
        <w:jc w:val="left"/>
        <w:tblLook w:firstColumn="1" w:firstRow="1" w:lastColumn="0" w:lastRow="0" w:noHBand="0" w:noVBand="1" w:val="04A0"/>
      </w:tblPr>
      <w:tblGrid>
        <w:gridCol w:w="1046"/>
        <w:gridCol w:w="1046"/>
        <w:gridCol w:w="1046"/>
        <w:gridCol w:w="1046"/>
        <w:gridCol w:w="1046"/>
        <w:gridCol w:w="1046"/>
        <w:gridCol w:w="1046"/>
        <w:gridCol w:w="1046"/>
        <w:gridCol w:w="1046"/>
      </w:tblGrid>
      <w:tr>
        <w:trPr>
          <w:tblHeader/>
        </w:trPr>
        <w:tc>
          <w:tcPr>
            <w:tcW w:type="dxa" w:w="1928"/>
            <w:shd w:val="clear" w:fill="E8EDF3"/>
          </w:tcPr>
          <w:p>
            <w:r/>
            <w:r>
              <w:rPr>
                <w:b/>
                <w:color w:val="1F3654"/>
                <w:sz w:val="16"/>
              </w:rPr>
            </w:r>
          </w:p>
        </w:tc>
        <w:tc>
          <w:tcPr>
            <w:tcW w:type="dxa" w:w="964"/>
            <w:shd w:val="clear" w:fill="E8EDF3"/>
          </w:tcPr>
          <w:p>
            <w:r/>
            <w:r>
              <w:rPr>
                <w:b/>
                <w:color w:val="1F3654"/>
                <w:sz w:val="16"/>
              </w:rPr>
              <w:t>Arch</w:t>
            </w:r>
          </w:p>
        </w:tc>
        <w:tc>
          <w:tcPr>
            <w:tcW w:type="dxa" w:w="964"/>
            <w:shd w:val="clear" w:fill="E8EDF3"/>
          </w:tcPr>
          <w:p>
            <w:r/>
            <w:r>
              <w:rPr>
                <w:b/>
                <w:color w:val="1F3654"/>
                <w:sz w:val="16"/>
              </w:rPr>
              <w:t>Struct</w:t>
            </w:r>
          </w:p>
        </w:tc>
        <w:tc>
          <w:tcPr>
            <w:tcW w:type="dxa" w:w="964"/>
            <w:shd w:val="clear" w:fill="E8EDF3"/>
          </w:tcPr>
          <w:p>
            <w:r/>
            <w:r>
              <w:rPr>
                <w:b/>
                <w:color w:val="1F3654"/>
                <w:sz w:val="16"/>
              </w:rPr>
              <w:t>Mech</w:t>
            </w:r>
          </w:p>
        </w:tc>
        <w:tc>
          <w:tcPr>
            <w:tcW w:type="dxa" w:w="964"/>
            <w:shd w:val="clear" w:fill="E8EDF3"/>
          </w:tcPr>
          <w:p>
            <w:r/>
            <w:r>
              <w:rPr>
                <w:b/>
                <w:color w:val="1F3654"/>
                <w:sz w:val="16"/>
              </w:rPr>
              <w:t>Elec</w:t>
            </w:r>
          </w:p>
        </w:tc>
        <w:tc>
          <w:tcPr>
            <w:tcW w:type="dxa" w:w="964"/>
            <w:shd w:val="clear" w:fill="E8EDF3"/>
          </w:tcPr>
          <w:p>
            <w:r/>
            <w:r>
              <w:rPr>
                <w:b/>
                <w:color w:val="1F3654"/>
                <w:sz w:val="16"/>
              </w:rPr>
              <w:t>PH</w:t>
            </w:r>
          </w:p>
        </w:tc>
        <w:tc>
          <w:tcPr>
            <w:tcW w:type="dxa" w:w="964"/>
            <w:shd w:val="clear" w:fill="E8EDF3"/>
          </w:tcPr>
          <w:p>
            <w:r/>
            <w:r>
              <w:rPr>
                <w:b/>
                <w:color w:val="1F3654"/>
                <w:sz w:val="16"/>
              </w:rPr>
              <w:t>Fire</w:t>
            </w:r>
          </w:p>
        </w:tc>
        <w:tc>
          <w:tcPr>
            <w:tcW w:type="dxa" w:w="907"/>
            <w:shd w:val="clear" w:fill="E8EDF3"/>
          </w:tcPr>
          <w:p>
            <w:r/>
            <w:r>
              <w:rPr>
                <w:b/>
                <w:color w:val="1F3654"/>
                <w:sz w:val="16"/>
              </w:rPr>
              <w:t>LV</w:t>
            </w:r>
          </w:p>
        </w:tc>
        <w:tc>
          <w:tcPr>
            <w:tcW w:type="dxa" w:w="964"/>
            <w:shd w:val="clear" w:fill="E8EDF3"/>
          </w:tcPr>
          <w:p>
            <w:r/>
            <w:r>
              <w:rPr>
                <w:b/>
                <w:color w:val="1F3654"/>
                <w:sz w:val="16"/>
              </w:rPr>
              <w:t>Civil</w:t>
            </w:r>
          </w:p>
        </w:tc>
      </w:tr>
      <w:tr>
        <w:tc>
          <w:tcPr>
            <w:tcW w:type="dxa" w:w="1928"/>
          </w:tcPr>
          <w:p>
            <w:pPr>
              <w:spacing w:after="40"/>
            </w:pPr>
            <w:r>
              <w:rPr>
                <w:sz w:val="16"/>
              </w:rPr>
            </w:r>
            <w:r>
              <w:rPr>
                <w:b w:val="0"/>
                <w:sz w:val="16"/>
              </w:rPr>
              <w:t>Architecture</w:t>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G</w:t>
            </w:r>
          </w:p>
        </w:tc>
      </w:tr>
      <w:tr>
        <w:tc>
          <w:tcPr>
            <w:tcW w:type="dxa" w:w="1928"/>
          </w:tcPr>
          <w:p>
            <w:pPr>
              <w:spacing w:after="40"/>
            </w:pPr>
            <w:r>
              <w:rPr>
                <w:sz w:val="16"/>
              </w:rPr>
            </w:r>
            <w:r>
              <w:rPr>
                <w:b w:val="0"/>
                <w:sz w:val="16"/>
              </w:rPr>
              <w:t>Structure</w:t>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Mechanical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Electrical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Public health</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Fire protection</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Low voltage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Civil and site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p>
        </w:tc>
        <w:tc>
          <w:tcPr>
            <w:tcW w:type="dxa" w:w="964"/>
          </w:tcPr>
          <w:p>
            <w:pPr>
              <w:spacing w:after="40"/>
            </w:pPr>
            <w:r>
              <w:rPr>
                <w:sz w:val="16"/>
              </w:rPr>
            </w:r>
            <w:r>
              <w:rPr>
                <w:b w:val="0"/>
                <w:sz w:val="16"/>
              </w:rPr>
              <w:t>–</w:t>
            </w:r>
          </w:p>
        </w:tc>
      </w:tr>
    </w:tbl>
    <w:p>
      <w:r>
        <w:rPr>
          <w:i/>
          <w:color w:val="7A7A7A"/>
          <w:sz w:val="16"/>
        </w:rPr>
        <w:t>Proposed. [CONFIRM] at the mobilisation coordination workshop — the disciplines decide what is worth testing, not the Information Manager.</w:t>
      </w:r>
    </w:p>
    <w:p>
      <w:pPr>
        <w:spacing w:after="40"/>
      </w:pPr>
    </w:p>
    <w:p>
      <w:pPr>
        <w:pStyle w:val="Heading3"/>
      </w:pPr>
      <w:r>
        <w:t>7.3.2  Clearances and tolerances</w:t>
      </w:r>
    </w:p>
    <w:p>
      <w:r>
        <w:rPr>
          <w:b w:val="0"/>
          <w:i w:val="0"/>
        </w:rPr>
        <w:t>Clash detection needs two numbers per interface: the overlap that counts as a hard clash, and the clear space that must exist even where nothing collides. The second is the one that protects maintainability, and geometry alone will never reveal it.</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6"/>
              </w:rPr>
              <w:t>Interface</w:t>
            </w:r>
          </w:p>
        </w:tc>
        <w:tc>
          <w:tcPr>
            <w:tcW w:type="dxa" w:w="1928"/>
            <w:shd w:val="clear" w:fill="E8EDF3"/>
          </w:tcPr>
          <w:p>
            <w:r/>
            <w:r>
              <w:rPr>
                <w:b/>
                <w:color w:val="1F3654"/>
                <w:sz w:val="16"/>
              </w:rPr>
              <w:t>Hard clash tolerance</w:t>
            </w:r>
          </w:p>
        </w:tc>
        <w:tc>
          <w:tcPr>
            <w:tcW w:type="dxa" w:w="2494"/>
            <w:shd w:val="clear" w:fill="E8EDF3"/>
          </w:tcPr>
          <w:p>
            <w:r/>
            <w:r>
              <w:rPr>
                <w:b/>
                <w:color w:val="1F3654"/>
                <w:sz w:val="16"/>
              </w:rPr>
              <w:t>Required clearance</w:t>
            </w:r>
          </w:p>
        </w:tc>
        <w:tc>
          <w:tcPr>
            <w:tcW w:type="dxa" w:w="2154"/>
            <w:shd w:val="clear" w:fill="E8EDF3"/>
          </w:tcPr>
          <w:p>
            <w:r/>
            <w:r>
              <w:rPr>
                <w:b/>
                <w:color w:val="1F3654"/>
                <w:sz w:val="16"/>
              </w:rPr>
              <w:t>Set by</w:t>
            </w:r>
          </w:p>
        </w:tc>
      </w:tr>
      <w:tr>
        <w:tc>
          <w:tcPr>
            <w:tcW w:type="dxa" w:w="2835"/>
          </w:tcPr>
          <w:p>
            <w:pPr>
              <w:spacing w:after="40"/>
            </w:pPr>
            <w:r>
              <w:rPr>
                <w:sz w:val="16"/>
              </w:rPr>
            </w:r>
            <w:r>
              <w:rPr>
                <w:b w:val="0"/>
                <w:sz w:val="16"/>
              </w:rPr>
              <w:t>Structure to MEP</w:t>
            </w:r>
          </w:p>
        </w:tc>
        <w:tc>
          <w:tcPr>
            <w:tcW w:type="dxa" w:w="1928"/>
          </w:tcPr>
          <w:p>
            <w:pPr>
              <w:spacing w:after="40"/>
            </w:pPr>
            <w:r>
              <w:rPr>
                <w:sz w:val="16"/>
              </w:rPr>
            </w:r>
            <w:r>
              <w:rPr>
                <w:b w:val="0"/>
                <w:sz w:val="16"/>
              </w:rPr>
              <w:t>[FILL — typically 0 mm]</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and MEP leads</w:t>
            </w:r>
          </w:p>
        </w:tc>
      </w:tr>
      <w:tr>
        <w:tc>
          <w:tcPr>
            <w:tcW w:type="dxa" w:w="2835"/>
          </w:tcPr>
          <w:p>
            <w:pPr>
              <w:spacing w:after="40"/>
            </w:pPr>
            <w:r>
              <w:rPr>
                <w:sz w:val="16"/>
              </w:rPr>
            </w:r>
            <w:r>
              <w:rPr>
                <w:b w:val="0"/>
                <w:sz w:val="16"/>
              </w:rPr>
              <w:t>MEP to MEP</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MEP to architecture (ceiling void, risers)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Architecture and MEP leads</w:t>
            </w:r>
          </w:p>
        </w:tc>
      </w:tr>
      <w:tr>
        <w:tc>
          <w:tcPr>
            <w:tcW w:type="dxa" w:w="2835"/>
          </w:tcPr>
          <w:p>
            <w:pPr>
              <w:spacing w:after="40"/>
            </w:pPr>
            <w:r>
              <w:rPr>
                <w:sz w:val="16"/>
              </w:rPr>
            </w:r>
            <w:r>
              <w:rPr>
                <w:b w:val="0"/>
                <w:sz w:val="16"/>
              </w:rPr>
              <w:t>Maintenance access to plant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 — manufacturer requirement, with a stated minimum]</w:t>
            </w:r>
          </w:p>
        </w:tc>
        <w:tc>
          <w:tcPr>
            <w:tcW w:type="dxa" w:w="2154"/>
          </w:tcPr>
          <w:p>
            <w:pPr>
              <w:spacing w:after="40"/>
            </w:pPr>
            <w:r>
              <w:rPr>
                <w:sz w:val="16"/>
              </w:rPr>
            </w:r>
            <w:r>
              <w:rPr>
                <w:b w:val="0"/>
                <w:sz w:val="16"/>
              </w:rPr>
              <w:t>MEP lead, against manufacturer data</w:t>
            </w:r>
          </w:p>
        </w:tc>
      </w:tr>
      <w:tr>
        <w:tc>
          <w:tcPr>
            <w:tcW w:type="dxa" w:w="2835"/>
          </w:tcPr>
          <w:p>
            <w:pPr>
              <w:spacing w:after="40"/>
            </w:pPr>
            <w:r>
              <w:rPr>
                <w:sz w:val="16"/>
              </w:rPr>
            </w:r>
            <w:r>
              <w:rPr>
                <w:b w:val="0"/>
                <w:sz w:val="16"/>
              </w:rPr>
              <w:t>Access for replacement (largest removable part)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Fire compartment penetrations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Fire and MEP leads</w:t>
            </w:r>
          </w:p>
        </w:tc>
      </w:tr>
      <w:tr>
        <w:tc>
          <w:tcPr>
            <w:tcW w:type="dxa" w:w="2835"/>
          </w:tcPr>
          <w:p>
            <w:pPr>
              <w:spacing w:after="40"/>
            </w:pPr>
            <w:r>
              <w:rPr>
                <w:sz w:val="16"/>
              </w:rPr>
            </w:r>
            <w:r>
              <w:rPr>
                <w:b w:val="0"/>
                <w:sz w:val="16"/>
              </w:rPr>
              <w:t>Structural zone reserved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lead</w:t>
            </w:r>
          </w:p>
        </w:tc>
      </w:tr>
      <w:tr>
        <w:tc>
          <w:tcPr>
            <w:tcW w:type="dxa" w:w="2835"/>
          </w:tcPr>
          <w:p>
            <w:pPr>
              <w:spacing w:after="40"/>
            </w:pPr>
            <w:r>
              <w:rPr>
                <w:sz w:val="16"/>
              </w:rPr>
            </w:r>
            <w:r>
              <w:rPr>
                <w:b w:val="0"/>
                <w:sz w:val="16"/>
              </w:rPr>
              <w:t>Services zoning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Per the agreed services zoning drawing [FILL — reference]</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Site services to structures and trees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Civil lead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REQUIRED BEFORE STAGE 2.2</w:t>
            </w:r>
          </w:p>
          <w:p>
            <w:r>
              <w:rPr>
                <w:b/>
                <w:sz w:val="19"/>
              </w:rPr>
              <w:t>Open item, with a deadline.</w:t>
            </w:r>
            <w:r>
              <w:rPr>
                <w:b w:val="0"/>
                <w:sz w:val="19"/>
              </w:rPr>
              <w:t xml:space="preserve"> These are engineering judgements with cost consequences — too tight and the building cannot be maintained, too generous and ceiling void and floor-to-floor height are lost. They must be agreed before the first coordination cycle of Stage 2.2. Until they are, the clash run reports geometric collisions only and nothing about access or maintainability is being checked at all.</w:t>
            </w:r>
          </w:p>
        </w:tc>
      </w:tr>
    </w:tbl>
    <w:p>
      <w:pPr>
        <w:spacing w:after="40"/>
      </w:pPr>
    </w:p>
    <w:p>
      <w:pPr>
        <w:pStyle w:val="Heading2"/>
      </w:pPr>
      <w:r>
        <w:t>7.4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pPr>
        <w:pStyle w:val="Heading2"/>
      </w:pPr>
      <w:r>
        <w:t>8.1  Information classification and access</w:t>
      </w:r>
    </w:p>
    <w:p>
      <w:r>
        <w:rPr>
          <w:b w:val="0"/>
          <w:i w:val="0"/>
        </w:rPr>
        <w:t>Not all project information carries the same sensitivity. Classify it once, and let the classification drive access rather than deciding case by case.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Classification</w:t>
            </w:r>
          </w:p>
        </w:tc>
        <w:tc>
          <w:tcPr>
            <w:tcW w:type="dxa" w:w="2835"/>
            <w:shd w:val="clear" w:fill="E8EDF3"/>
          </w:tcPr>
          <w:p>
            <w:r/>
            <w:r>
              <w:rPr>
                <w:b/>
                <w:color w:val="1F3654"/>
                <w:sz w:val="16"/>
              </w:rPr>
              <w:t>Examples</w:t>
            </w:r>
          </w:p>
        </w:tc>
        <w:tc>
          <w:tcPr>
            <w:tcW w:type="dxa" w:w="2268"/>
            <w:shd w:val="clear" w:fill="E8EDF3"/>
          </w:tcPr>
          <w:p>
            <w:r/>
            <w:r>
              <w:rPr>
                <w:b/>
                <w:color w:val="1F3654"/>
                <w:sz w:val="16"/>
              </w:rPr>
              <w:t>Who may access</w:t>
            </w:r>
          </w:p>
        </w:tc>
        <w:tc>
          <w:tcPr>
            <w:tcW w:type="dxa" w:w="2721"/>
            <w:shd w:val="clear" w:fill="E8EDF3"/>
          </w:tcPr>
          <w:p>
            <w:r/>
            <w:r>
              <w:rPr>
                <w:b/>
                <w:color w:val="1F3654"/>
                <w:sz w:val="16"/>
              </w:rPr>
              <w:t>Handling</w:t>
            </w:r>
          </w:p>
        </w:tc>
      </w:tr>
      <w:tr>
        <w:tc>
          <w:tcPr>
            <w:tcW w:type="dxa" w:w="1587"/>
          </w:tcPr>
          <w:p>
            <w:pPr>
              <w:spacing w:after="40"/>
            </w:pPr>
            <w:r>
              <w:rPr>
                <w:sz w:val="16"/>
              </w:rPr>
            </w:r>
            <w:r>
              <w:rPr>
                <w:b w:val="0"/>
                <w:sz w:val="16"/>
              </w:rPr>
              <w:t>Open</w:t>
            </w:r>
          </w:p>
        </w:tc>
        <w:tc>
          <w:tcPr>
            <w:tcW w:type="dxa" w:w="2835"/>
          </w:tcPr>
          <w:p>
            <w:pPr>
              <w:spacing w:after="40"/>
            </w:pPr>
            <w:r>
              <w:rPr>
                <w:sz w:val="16"/>
              </w:rPr>
            </w:r>
            <w:r>
              <w:rPr>
                <w:b w:val="0"/>
                <w:sz w:val="16"/>
              </w:rPr>
              <w:t>General arrangement drawings, room schedules</w:t>
            </w:r>
          </w:p>
        </w:tc>
        <w:tc>
          <w:tcPr>
            <w:tcW w:type="dxa" w:w="2268"/>
          </w:tcPr>
          <w:p>
            <w:pPr>
              <w:spacing w:after="40"/>
            </w:pPr>
            <w:r>
              <w:rPr>
                <w:sz w:val="16"/>
              </w:rPr>
            </w:r>
            <w:r>
              <w:rPr>
                <w:b w:val="0"/>
                <w:sz w:val="16"/>
              </w:rPr>
              <w:t>All appointed parties</w:t>
            </w:r>
          </w:p>
        </w:tc>
        <w:tc>
          <w:tcPr>
            <w:tcW w:type="dxa" w:w="2721"/>
          </w:tcPr>
          <w:p>
            <w:pPr>
              <w:spacing w:after="40"/>
            </w:pPr>
            <w:r>
              <w:rPr>
                <w:sz w:val="16"/>
              </w:rPr>
            </w:r>
            <w:r>
              <w:rPr>
                <w:b w:val="0"/>
                <w:sz w:val="16"/>
              </w:rPr>
              <w:t>Normal CDE handling</w:t>
            </w:r>
          </w:p>
        </w:tc>
      </w:tr>
      <w:tr>
        <w:tc>
          <w:tcPr>
            <w:tcW w:type="dxa" w:w="1587"/>
          </w:tcPr>
          <w:p>
            <w:pPr>
              <w:spacing w:after="40"/>
            </w:pPr>
            <w:r>
              <w:rPr>
                <w:sz w:val="16"/>
              </w:rPr>
            </w:r>
            <w:r>
              <w:rPr>
                <w:b w:val="0"/>
                <w:sz w:val="16"/>
              </w:rPr>
              <w:t>Restricted</w:t>
            </w:r>
          </w:p>
        </w:tc>
        <w:tc>
          <w:tcPr>
            <w:tcW w:type="dxa" w:w="2835"/>
          </w:tcPr>
          <w:p>
            <w:pPr>
              <w:spacing w:after="40"/>
            </w:pPr>
            <w:r>
              <w:rPr>
                <w:sz w:val="16"/>
              </w:rPr>
            </w:r>
            <w:r>
              <w:rPr>
                <w:b w:val="0"/>
                <w:sz w:val="16"/>
              </w:rPr>
              <w:t>Security system layouts, access control, CCTV coverage, alarm zoning</w:t>
            </w:r>
          </w:p>
        </w:tc>
        <w:tc>
          <w:tcPr>
            <w:tcW w:type="dxa" w:w="2268"/>
          </w:tcPr>
          <w:p>
            <w:pPr>
              <w:spacing w:after="40"/>
            </w:pPr>
            <w:r>
              <w:rPr>
                <w:sz w:val="16"/>
              </w:rPr>
            </w:r>
            <w:r>
              <w:rPr>
                <w:b w:val="0"/>
                <w:sz w:val="16"/>
              </w:rPr>
              <w:t>[FILL — named individuals only]</w:t>
            </w:r>
          </w:p>
        </w:tc>
        <w:tc>
          <w:tcPr>
            <w:tcW w:type="dxa" w:w="2721"/>
          </w:tcPr>
          <w:p>
            <w:pPr>
              <w:spacing w:after="40"/>
            </w:pPr>
            <w:r>
              <w:rPr>
                <w:sz w:val="16"/>
              </w:rPr>
            </w:r>
            <w:r>
              <w:rPr>
                <w:b w:val="0"/>
                <w:sz w:val="16"/>
              </w:rPr>
              <w:t>Separate CDE folder with explicit permissions; not included in the general federated model</w:t>
            </w:r>
          </w:p>
        </w:tc>
      </w:tr>
      <w:tr>
        <w:tc>
          <w:tcPr>
            <w:tcW w:type="dxa" w:w="1587"/>
          </w:tcPr>
          <w:p>
            <w:pPr>
              <w:spacing w:after="40"/>
            </w:pPr>
            <w:r>
              <w:rPr>
                <w:sz w:val="16"/>
              </w:rPr>
            </w:r>
            <w:r>
              <w:rPr>
                <w:b w:val="0"/>
                <w:sz w:val="16"/>
              </w:rPr>
              <w:t>Confidential</w:t>
            </w:r>
          </w:p>
        </w:tc>
        <w:tc>
          <w:tcPr>
            <w:tcW w:type="dxa" w:w="2835"/>
          </w:tcPr>
          <w:p>
            <w:pPr>
              <w:spacing w:after="40"/>
            </w:pPr>
            <w:r>
              <w:rPr>
                <w:sz w:val="16"/>
              </w:rPr>
            </w:r>
            <w:r>
              <w:rPr>
                <w:b w:val="0"/>
                <w:sz w:val="16"/>
              </w:rPr>
              <w:t>[FILL — identify: sacred or ritual spaces, and any area the Appointing Party designates]</w:t>
            </w:r>
          </w:p>
        </w:tc>
        <w:tc>
          <w:tcPr>
            <w:tcW w:type="dxa" w:w="2268"/>
          </w:tcPr>
          <w:p>
            <w:pPr>
              <w:spacing w:after="40"/>
            </w:pPr>
            <w:r>
              <w:rPr>
                <w:sz w:val="16"/>
              </w:rPr>
            </w:r>
            <w:r>
              <w:rPr>
                <w:b w:val="0"/>
                <w:sz w:val="16"/>
              </w:rPr>
              <w:t>[FILL]</w:t>
            </w:r>
          </w:p>
        </w:tc>
        <w:tc>
          <w:tcPr>
            <w:tcW w:type="dxa" w:w="2721"/>
          </w:tcPr>
          <w:p>
            <w:pPr>
              <w:spacing w:after="40"/>
            </w:pPr>
            <w:r>
              <w:rPr>
                <w:sz w:val="16"/>
              </w:rPr>
            </w:r>
            <w:r>
              <w:rPr>
                <w:b w:val="0"/>
                <w:sz w:val="16"/>
              </w:rPr>
              <w:t>[FILL — state whether these are modelled at all, and by whom]</w:t>
            </w:r>
          </w:p>
        </w:tc>
      </w:tr>
      <w:tr>
        <w:tc>
          <w:tcPr>
            <w:tcW w:type="dxa" w:w="1587"/>
          </w:tcPr>
          <w:p>
            <w:pPr>
              <w:spacing w:after="40"/>
            </w:pPr>
            <w:r>
              <w:rPr>
                <w:sz w:val="16"/>
              </w:rPr>
            </w:r>
            <w:r>
              <w:rPr>
                <w:b w:val="0"/>
                <w:sz w:val="16"/>
              </w:rPr>
              <w:t>Personal data</w:t>
            </w:r>
          </w:p>
        </w:tc>
        <w:tc>
          <w:tcPr>
            <w:tcW w:type="dxa" w:w="2835"/>
          </w:tcPr>
          <w:p>
            <w:pPr>
              <w:spacing w:after="40"/>
            </w:pPr>
            <w:r>
              <w:rPr>
                <w:sz w:val="16"/>
              </w:rPr>
            </w:r>
            <w:r>
              <w:rPr>
                <w:b w:val="0"/>
                <w:sz w:val="16"/>
              </w:rPr>
              <w:t>Team contact details, site personnel records</w:t>
            </w:r>
          </w:p>
        </w:tc>
        <w:tc>
          <w:tcPr>
            <w:tcW w:type="dxa" w:w="2268"/>
          </w:tcPr>
          <w:p>
            <w:pPr>
              <w:spacing w:after="40"/>
            </w:pPr>
            <w:r>
              <w:rPr>
                <w:sz w:val="16"/>
              </w:rPr>
            </w:r>
            <w:r>
              <w:rPr>
                <w:b w:val="0"/>
                <w:sz w:val="16"/>
              </w:rPr>
              <w:t>Information Manager and Lead Appointed Party</w:t>
            </w:r>
          </w:p>
        </w:tc>
        <w:tc>
          <w:tcPr>
            <w:tcW w:type="dxa" w:w="2721"/>
          </w:tcPr>
          <w:p>
            <w:pPr>
              <w:spacing w:after="40"/>
            </w:pPr>
            <w:r>
              <w:rPr>
                <w:sz w:val="16"/>
              </w:rPr>
            </w:r>
            <w:r>
              <w:rPr>
                <w:b w:val="0"/>
                <w:sz w:val="16"/>
              </w:rPr>
              <w:t>Not published; retained only as long as needed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TO BE ESTABLISHED BEFORE MODELLING</w:t>
            </w:r>
          </w:p>
          <w:p>
            <w:r>
              <w:rPr>
                <w:b/>
                <w:sz w:val="19"/>
              </w:rPr>
              <w:t>A temple carries sensitivities beyond the usual.</w:t>
            </w:r>
            <w:r>
              <w:rPr>
                <w:b w:val="0"/>
                <w:sz w:val="19"/>
              </w:rPr>
              <w:t xml:space="preserve"> The Appointing Party must state which spaces and systems are restricted before modelling begins, because retrofitting a restriction to information already federated and shared is not achievable. This is an [FILL] that should be closed at the first Appointing Party meeting.</w:t>
            </w:r>
          </w:p>
        </w:tc>
      </w:tr>
    </w:tbl>
    <w:p>
      <w:pPr>
        <w:spacing w:after="40"/>
      </w:pPr>
    </w:p>
    <w:p>
      <w:pPr>
        <w:pStyle w:val="Heading2"/>
      </w:pPr>
      <w:r>
        <w:t>8.2  Third-party services and model viewers</w:t>
      </w:r>
    </w:p>
    <w:p>
      <w:r>
        <w:rPr>
          <w:b w:val="0"/>
          <w:i w:val="0"/>
        </w:rPr>
        <w:t>Project information is held in the Common Data Environment. Placing it anywhere else — a model viewer, a visualisation service, a file-transfer service, an artificial intelligence assistant or any other third-party platform — is a transfer of the Appointing Party information outside the agreed environment, whether or not it is described as temporary or private.</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Written approval</w:t>
            </w:r>
          </w:p>
        </w:tc>
        <w:tc>
          <w:tcPr>
            <w:tcW w:type="dxa" w:w="7483"/>
          </w:tcPr>
          <w:p>
            <w:pPr>
              <w:spacing w:after="40"/>
            </w:pPr>
            <w:r>
              <w:rPr>
                <w:sz w:val="17"/>
              </w:rPr>
            </w:r>
            <w:r>
              <w:rPr>
                <w:b w:val="0"/>
                <w:sz w:val="17"/>
              </w:rPr>
              <w:t>No project information is uploaded to any third-party service without the written approval of the Appointing Party, obtained in advance</w:t>
            </w:r>
          </w:p>
        </w:tc>
      </w:tr>
      <w:tr>
        <w:tc>
          <w:tcPr>
            <w:tcW w:type="dxa" w:w="1928"/>
          </w:tcPr>
          <w:p>
            <w:pPr>
              <w:spacing w:after="40"/>
            </w:pPr>
            <w:r>
              <w:rPr>
                <w:sz w:val="17"/>
              </w:rPr>
            </w:r>
            <w:r>
              <w:rPr>
                <w:b w:val="0"/>
                <w:sz w:val="17"/>
              </w:rPr>
              <w:t>Scope of approval</w:t>
            </w:r>
          </w:p>
        </w:tc>
        <w:tc>
          <w:tcPr>
            <w:tcW w:type="dxa" w:w="7483"/>
          </w:tcPr>
          <w:p>
            <w:pPr>
              <w:spacing w:after="40"/>
            </w:pPr>
            <w:r>
              <w:rPr>
                <w:sz w:val="17"/>
              </w:rPr>
            </w:r>
            <w:r>
              <w:rPr>
                <w:b w:val="0"/>
                <w:sz w:val="17"/>
              </w:rPr>
              <w:t>An approval names the service, the information, the purpose and the duration. It does not extend to other services or later purposes</w:t>
            </w:r>
          </w:p>
        </w:tc>
      </w:tr>
      <w:tr>
        <w:tc>
          <w:tcPr>
            <w:tcW w:type="dxa" w:w="1928"/>
          </w:tcPr>
          <w:p>
            <w:pPr>
              <w:spacing w:after="40"/>
            </w:pPr>
            <w:r>
              <w:rPr>
                <w:sz w:val="17"/>
              </w:rPr>
            </w:r>
            <w:r>
              <w:rPr>
                <w:b w:val="0"/>
                <w:sz w:val="17"/>
              </w:rPr>
              <w:t>Register</w:t>
            </w:r>
          </w:p>
        </w:tc>
        <w:tc>
          <w:tcPr>
            <w:tcW w:type="dxa" w:w="7483"/>
          </w:tcPr>
          <w:p>
            <w:pPr>
              <w:spacing w:after="40"/>
            </w:pPr>
            <w:r>
              <w:rPr>
                <w:sz w:val="17"/>
              </w:rPr>
            </w:r>
            <w:r>
              <w:rPr>
                <w:b w:val="0"/>
                <w:sz w:val="17"/>
              </w:rPr>
              <w:t>Approved services are recorded in the register of third-party services, maintained by the Information Manager and reissued with the monthly status report</w:t>
            </w:r>
          </w:p>
        </w:tc>
      </w:tr>
      <w:tr>
        <w:tc>
          <w:tcPr>
            <w:tcW w:type="dxa" w:w="1928"/>
          </w:tcPr>
          <w:p>
            <w:pPr>
              <w:spacing w:after="40"/>
            </w:pPr>
            <w:r>
              <w:rPr>
                <w:sz w:val="17"/>
              </w:rPr>
            </w:r>
            <w:r>
              <w:rPr>
                <w:b w:val="0"/>
                <w:sz w:val="17"/>
              </w:rPr>
              <w:t>Deletion</w:t>
            </w:r>
          </w:p>
        </w:tc>
        <w:tc>
          <w:tcPr>
            <w:tcW w:type="dxa" w:w="7483"/>
          </w:tcPr>
          <w:p>
            <w:pPr>
              <w:spacing w:after="40"/>
            </w:pPr>
            <w:r>
              <w:rPr>
                <w:sz w:val="17"/>
              </w:rPr>
            </w:r>
            <w:r>
              <w:rPr>
                <w:b w:val="0"/>
                <w:sz w:val="17"/>
              </w:rPr>
              <w:t>On completion of the approved purpose, the information is deleted from the service and the deletion confirmed in writing</w:t>
            </w:r>
          </w:p>
        </w:tc>
      </w:tr>
      <w:tr>
        <w:tc>
          <w:tcPr>
            <w:tcW w:type="dxa" w:w="1928"/>
          </w:tcPr>
          <w:p>
            <w:pPr>
              <w:spacing w:after="40"/>
            </w:pPr>
            <w:r>
              <w:rPr>
                <w:sz w:val="17"/>
              </w:rPr>
            </w:r>
            <w:r>
              <w:rPr>
                <w:b w:val="0"/>
                <w:sz w:val="17"/>
              </w:rPr>
              <w:t>Personal accounts</w:t>
            </w:r>
          </w:p>
        </w:tc>
        <w:tc>
          <w:tcPr>
            <w:tcW w:type="dxa" w:w="7483"/>
          </w:tcPr>
          <w:p>
            <w:pPr>
              <w:spacing w:after="40"/>
            </w:pPr>
            <w:r>
              <w:rPr>
                <w:sz w:val="17"/>
              </w:rPr>
            </w:r>
            <w:r>
              <w:rPr>
                <w:b w:val="0"/>
                <w:sz w:val="17"/>
              </w:rPr>
              <w:t>Project information is never held in a personal account of any service, including personal cloud storage and personal messaging</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COMMON FAILURE</w:t>
            </w:r>
          </w:p>
          <w:p>
            <w:r>
              <w:rPr>
                <w:b w:val="0"/>
                <w:sz w:val="19"/>
              </w:rPr>
              <w:t>This is the requirement most often broken by accident and with good intentions — a viewer link shared to save somebody a download, a model dropped into a transfer service because it was too large to email. Both put Appointing Party information on infrastructure nobody has assessed. If a service would make the work easier, ask for it to be approved; do not use it first.</w:t>
            </w:r>
          </w:p>
        </w:tc>
      </w:tr>
    </w:tbl>
    <w:p>
      <w:pPr>
        <w:spacing w:after="40"/>
      </w:pPr>
    </w:p>
    <w:p>
      <w:pPr>
        <w:pStyle w:val="Heading2"/>
      </w:pPr>
      <w:r>
        <w:t>8.3  Publication and personal use</w:t>
      </w:r>
    </w:p>
    <w:p>
      <w:pPr>
        <w:spacing w:after="60"/>
        <w:ind w:left="340"/>
      </w:pPr>
      <w:r>
        <w:rPr>
          <w:b/>
        </w:rPr>
        <w:t xml:space="preserve">• </w:t>
      </w:r>
      <w:r>
        <w:rPr>
          <w:b w:val="0"/>
        </w:rPr>
        <w:t>Project information — including images, plans, renders and visualisations — must not be published, circulated outside the project, or used in promotional or portfolio material without the written permission of the Appointing Party.</w:t>
      </w:r>
    </w:p>
    <w:p>
      <w:pPr>
        <w:spacing w:after="60"/>
        <w:ind w:left="340"/>
      </w:pPr>
      <w:r>
        <w:rPr>
          <w:b/>
        </w:rPr>
        <w:t xml:space="preserve">• </w:t>
      </w:r>
      <w:r>
        <w:rPr>
          <w:b w:val="0"/>
        </w:rPr>
        <w:t>This applies during and after the appointment, and to individuals as well as organisations.</w:t>
      </w:r>
    </w:p>
    <w:p>
      <w:pPr>
        <w:spacing w:after="60"/>
        <w:ind w:left="340"/>
      </w:pPr>
      <w:r>
        <w:rPr>
          <w:b/>
        </w:rPr>
        <w:t xml:space="preserve">• </w:t>
      </w:r>
      <w:r>
        <w:rPr>
          <w:b w:val="0"/>
        </w:rPr>
        <w:t>Site photography is [FILL — permitted / restricted / prohibited], per the Appointing Party.</w:t>
      </w:r>
    </w:p>
    <w:p>
      <w:pPr>
        <w:spacing w:after="60"/>
        <w:ind w:left="340"/>
      </w:pPr>
      <w:r>
        <w:rPr>
          <w:b/>
        </w:rPr>
        <w:t xml:space="preserve">• </w:t>
      </w:r>
      <w:r>
        <w:rPr>
          <w:b w:val="0"/>
        </w:rPr>
        <w:t>Breaches are reported to the Lead Appointed Party within [FILL] hours of discovery.</w:t>
      </w: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action, negotiation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 administration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M44 to M47</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M48 to M49</w:t>
            </w:r>
          </w:p>
        </w:tc>
      </w:tr>
    </w:tbl>
    <w:p>
      <w:pPr>
        <w:spacing w:after="40"/>
      </w:pPr>
    </w:p>
    <w:p>
      <w:r>
        <w:rPr>
          <w:b w:val="0"/>
          <w:i w:val="0"/>
        </w:rPr>
        <w:t>Months are counted from the appointment and run in sequence: 11 months for Phase 2 and 38 for Phase 3, 49 in total. Calendar dates are fixed against the appointment date once it is confirmed.</w:t>
      </w: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10.4</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Model health thresholds</w:t>
      </w:r>
    </w:p>
    <w:p>
      <w:r>
        <w:rPr>
          <w:b w:val="0"/>
          <w:i w:val="0"/>
        </w:rPr>
        <w:t>"Within tolerance" means nothing without numbers. These are the thresholds a model is measured against at each share; a model outside them is not rejected automatically, but the exceedance is reported and the Task Team Manager states the remedy.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6"/>
              </w:rPr>
              <w:t>Metric</w:t>
            </w:r>
          </w:p>
        </w:tc>
        <w:tc>
          <w:tcPr>
            <w:tcW w:type="dxa" w:w="3742"/>
            <w:shd w:val="clear" w:fill="E8EDF3"/>
          </w:tcPr>
          <w:p>
            <w:r/>
            <w:r>
              <w:rPr>
                <w:b/>
                <w:color w:val="1F3654"/>
                <w:sz w:val="16"/>
              </w:rPr>
              <w:t>Threshold</w:t>
            </w:r>
          </w:p>
        </w:tc>
        <w:tc>
          <w:tcPr>
            <w:tcW w:type="dxa" w:w="2494"/>
            <w:shd w:val="clear" w:fill="E8EDF3"/>
          </w:tcPr>
          <w:p>
            <w:r/>
            <w:r>
              <w:rPr>
                <w:b/>
                <w:color w:val="1F3654"/>
                <w:sz w:val="16"/>
              </w:rPr>
              <w:t>Measured</w:t>
            </w:r>
          </w:p>
        </w:tc>
      </w:tr>
      <w:tr>
        <w:tc>
          <w:tcPr>
            <w:tcW w:type="dxa" w:w="3175"/>
          </w:tcPr>
          <w:p>
            <w:pPr>
              <w:spacing w:after="40"/>
            </w:pPr>
            <w:r>
              <w:rPr>
                <w:sz w:val="16"/>
              </w:rPr>
            </w:r>
            <w:r>
              <w:rPr>
                <w:b w:val="0"/>
                <w:sz w:val="16"/>
              </w:rPr>
              <w:t>File size</w:t>
            </w:r>
          </w:p>
        </w:tc>
        <w:tc>
          <w:tcPr>
            <w:tcW w:type="dxa" w:w="3742"/>
          </w:tcPr>
          <w:p>
            <w:pPr>
              <w:spacing w:after="40"/>
            </w:pPr>
            <w:r>
              <w:rPr>
                <w:sz w:val="16"/>
              </w:rPr>
            </w:r>
            <w:r>
              <w:rPr>
                <w:b w:val="0"/>
                <w:sz w:val="16"/>
              </w:rPr>
              <w:t>[FILL — working ceiling, typically 300 MB]</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total</w:t>
            </w:r>
          </w:p>
        </w:tc>
        <w:tc>
          <w:tcPr>
            <w:tcW w:type="dxa" w:w="3742"/>
          </w:tcPr>
          <w:p>
            <w:pPr>
              <w:spacing w:after="40"/>
            </w:pPr>
            <w:r>
              <w:rPr>
                <w:sz w:val="16"/>
              </w:rPr>
            </w:r>
            <w:r>
              <w:rPr>
                <w:b w:val="0"/>
                <w:sz w:val="16"/>
              </w:rPr>
              <w:t>[FILL — typically 500]</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critical</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 enforced at gates</w:t>
            </w:r>
          </w:p>
        </w:tc>
      </w:tr>
      <w:tr>
        <w:tc>
          <w:tcPr>
            <w:tcW w:type="dxa" w:w="3175"/>
          </w:tcPr>
          <w:p>
            <w:pPr>
              <w:spacing w:after="40"/>
            </w:pPr>
            <w:r>
              <w:rPr>
                <w:sz w:val="16"/>
              </w:rPr>
            </w:r>
            <w:r>
              <w:rPr>
                <w:b w:val="0"/>
                <w:sz w:val="16"/>
              </w:rPr>
              <w:t>Unplaced rooms</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Rooms not enclosed / redundant</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Duplicate elements in the same place</w:t>
            </w:r>
          </w:p>
        </w:tc>
        <w:tc>
          <w:tcPr>
            <w:tcW w:type="dxa" w:w="3742"/>
          </w:tcPr>
          <w:p>
            <w:pPr>
              <w:spacing w:after="40"/>
            </w:pPr>
            <w:r>
              <w:rPr>
                <w:sz w:val="16"/>
              </w:rPr>
            </w:r>
            <w:r>
              <w:rPr>
                <w:b w:val="0"/>
                <w:sz w:val="16"/>
              </w:rPr>
              <w:t>0</w:t>
            </w:r>
          </w:p>
        </w:tc>
        <w:tc>
          <w:tcPr>
            <w:tcW w:type="dxa" w:w="2494"/>
          </w:tcPr>
          <w:p>
            <w:pPr>
              <w:spacing w:after="40"/>
            </w:pPr>
            <w:r>
              <w:rPr>
                <w:sz w:val="16"/>
              </w:rPr>
            </w:r>
            <w:r>
              <w:rPr>
                <w:b w:val="0"/>
                <w:sz w:val="16"/>
              </w:rPr>
              <w:t>Every cycle</w:t>
            </w:r>
          </w:p>
        </w:tc>
      </w:tr>
      <w:tr>
        <w:tc>
          <w:tcPr>
            <w:tcW w:type="dxa" w:w="3175"/>
          </w:tcPr>
          <w:p>
            <w:pPr>
              <w:spacing w:after="40"/>
            </w:pPr>
            <w:r>
              <w:rPr>
                <w:sz w:val="16"/>
              </w:rPr>
            </w:r>
            <w:r>
              <w:rPr>
                <w:b w:val="0"/>
                <w:sz w:val="16"/>
              </w:rPr>
              <w:t>Elements outside the model extents</w:t>
            </w:r>
          </w:p>
        </w:tc>
        <w:tc>
          <w:tcPr>
            <w:tcW w:type="dxa" w:w="3742"/>
          </w:tcPr>
          <w:p>
            <w:pPr>
              <w:spacing w:after="40"/>
            </w:pPr>
            <w:r>
              <w:rPr>
                <w:sz w:val="16"/>
              </w:rPr>
            </w:r>
            <w:r>
              <w:rPr>
                <w:b w:val="0"/>
                <w:sz w:val="16"/>
              </w:rPr>
              <w:t>0 — a stray element inflates extents and slows every open</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In-place families</w:t>
            </w:r>
          </w:p>
        </w:tc>
        <w:tc>
          <w:tcPr>
            <w:tcW w:type="dxa" w:w="3742"/>
          </w:tcPr>
          <w:p>
            <w:pPr>
              <w:spacing w:after="40"/>
            </w:pPr>
            <w:r>
              <w:rPr>
                <w:sz w:val="16"/>
              </w:rPr>
            </w:r>
            <w:r>
              <w:rPr>
                <w:b w:val="0"/>
                <w:sz w:val="16"/>
              </w:rPr>
              <w:t>[FILL — a stated maximum; they do not schedule reliably]</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Imported CAD instances in the model</w:t>
            </w:r>
          </w:p>
        </w:tc>
        <w:tc>
          <w:tcPr>
            <w:tcW w:type="dxa" w:w="3742"/>
          </w:tcPr>
          <w:p>
            <w:pPr>
              <w:spacing w:after="40"/>
            </w:pPr>
            <w:r>
              <w:rPr>
                <w:sz w:val="16"/>
              </w:rPr>
            </w:r>
            <w:r>
              <w:rPr>
                <w:b w:val="0"/>
                <w:sz w:val="16"/>
              </w:rPr>
              <w:t>0 in a shared model; underlays are linked, not imported</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Unused / unpurged content</w:t>
            </w:r>
          </w:p>
        </w:tc>
        <w:tc>
          <w:tcPr>
            <w:tcW w:type="dxa" w:w="3742"/>
          </w:tcPr>
          <w:p>
            <w:pPr>
              <w:spacing w:after="40"/>
            </w:pPr>
            <w:r>
              <w:rPr>
                <w:sz w:val="16"/>
              </w:rPr>
            </w:r>
            <w:r>
              <w:rPr>
                <w:b w:val="0"/>
                <w:sz w:val="16"/>
              </w:rPr>
              <w:t>Purged before every share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Model open time</w:t>
            </w:r>
          </w:p>
        </w:tc>
        <w:tc>
          <w:tcPr>
            <w:tcW w:type="dxa" w:w="3742"/>
          </w:tcPr>
          <w:p>
            <w:pPr>
              <w:spacing w:after="40"/>
            </w:pPr>
            <w:r>
              <w:rPr>
                <w:sz w:val="16"/>
              </w:rPr>
            </w:r>
            <w:r>
              <w:rPr>
                <w:b w:val="0"/>
                <w:sz w:val="16"/>
              </w:rPr>
              <w:t>[FILL — a stated ceiling, as an early warning of a model becoming unworkable]</w:t>
            </w:r>
          </w:p>
        </w:tc>
        <w:tc>
          <w:tcPr>
            <w:tcW w:type="dxa" w:w="2494"/>
          </w:tcPr>
          <w:p>
            <w:pPr>
              <w:spacing w:after="40"/>
            </w:pPr>
            <w:r>
              <w:rPr>
                <w:sz w:val="16"/>
              </w:rPr>
            </w:r>
            <w:r>
              <w:rPr>
                <w:b w:val="0"/>
                <w:sz w:val="16"/>
              </w:rPr>
              <w:t>Monthly</w:t>
            </w:r>
          </w:p>
        </w:tc>
      </w:tr>
      <w:tr>
        <w:tc>
          <w:tcPr>
            <w:tcW w:type="dxa" w:w="3175"/>
          </w:tcPr>
          <w:p>
            <w:pPr>
              <w:spacing w:after="40"/>
            </w:pPr>
            <w:r>
              <w:rPr>
                <w:sz w:val="16"/>
              </w:rPr>
            </w:r>
            <w:r>
              <w:rPr>
                <w:b w:val="0"/>
                <w:sz w:val="16"/>
              </w:rPr>
              <w:t>Workset count and naming</w:t>
            </w:r>
          </w:p>
        </w:tc>
        <w:tc>
          <w:tcPr>
            <w:tcW w:type="dxa" w:w="3742"/>
          </w:tcPr>
          <w:p>
            <w:pPr>
              <w:spacing w:after="40"/>
            </w:pPr>
            <w:r>
              <w:rPr>
                <w:sz w:val="16"/>
              </w:rPr>
            </w:r>
            <w:r>
              <w:rPr>
                <w:b w:val="0"/>
                <w:sz w:val="16"/>
              </w:rPr>
              <w:t>Per Section 4.5</w:t>
            </w:r>
          </w:p>
        </w:tc>
        <w:tc>
          <w:tcPr>
            <w:tcW w:type="dxa" w:w="2494"/>
          </w:tcPr>
          <w:p>
            <w:pPr>
              <w:spacing w:after="40"/>
            </w:pPr>
            <w:r>
              <w:rPr>
                <w:sz w:val="16"/>
              </w:rPr>
            </w:r>
            <w:r>
              <w:rPr>
                <w:b w:val="0"/>
                <w:sz w:val="16"/>
              </w:rPr>
              <w:t>Every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THRESHOLDS ARE USED</w:t>
            </w:r>
          </w:p>
          <w:p>
            <w:r>
              <w:rPr>
                <w:b w:val="0"/>
                <w:sz w:val="19"/>
              </w:rPr>
              <w:t>Thresholds are a conversation trigger, not an automatic rejection. A model 20 per cent over the size ceiling because a volume is genuinely large is fine and stated; the same model at three times the ceiling because nothing has been purged since Deliverable A is not.</w:t>
            </w:r>
          </w:p>
        </w:tc>
      </w:tr>
    </w:tbl>
    <w:p>
      <w:pPr>
        <w:spacing w:after="40"/>
      </w:pPr>
    </w:p>
    <w:p>
      <w:pPr>
        <w:pStyle w:val="Heading2"/>
      </w:pPr>
      <w:r>
        <w:t>10.3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10.4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pPr>
        <w:pStyle w:val="Heading2"/>
      </w:pPr>
      <w:r>
        <w:t>10.5  Key performance indicators</w:t>
      </w:r>
    </w:p>
    <w:p>
      <w:r>
        <w:rPr>
          <w:b w:val="0"/>
          <w:i w:val="0"/>
        </w:rPr>
        <w:t>What is measured, what the target is, and how it is obtained. An indicator with no stated method is reported differently by whoever compiles it, and the trend then means nothing.</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494"/>
            <w:shd w:val="clear" w:fill="E8EDF3"/>
          </w:tcPr>
          <w:p>
            <w:r/>
            <w:r>
              <w:rPr>
                <w:b/>
                <w:color w:val="1F3654"/>
                <w:sz w:val="16"/>
              </w:rPr>
              <w:t>Indicator</w:t>
            </w:r>
          </w:p>
        </w:tc>
        <w:tc>
          <w:tcPr>
            <w:tcW w:type="dxa" w:w="1814"/>
            <w:shd w:val="clear" w:fill="E8EDF3"/>
          </w:tcPr>
          <w:p>
            <w:r/>
            <w:r>
              <w:rPr>
                <w:b/>
                <w:color w:val="1F3654"/>
                <w:sz w:val="16"/>
              </w:rPr>
              <w:t>Target</w:t>
            </w:r>
          </w:p>
        </w:tc>
        <w:tc>
          <w:tcPr>
            <w:tcW w:type="dxa" w:w="3402"/>
            <w:shd w:val="clear" w:fill="E8EDF3"/>
          </w:tcPr>
          <w:p>
            <w:r/>
            <w:r>
              <w:rPr>
                <w:b/>
                <w:color w:val="1F3654"/>
                <w:sz w:val="16"/>
              </w:rPr>
              <w:t>Measured</w:t>
            </w:r>
          </w:p>
        </w:tc>
        <w:tc>
          <w:tcPr>
            <w:tcW w:type="dxa" w:w="1701"/>
            <w:shd w:val="clear" w:fill="E8EDF3"/>
          </w:tcPr>
          <w:p>
            <w:r/>
            <w:r>
              <w:rPr>
                <w:b/>
                <w:color w:val="1F3654"/>
                <w:sz w:val="16"/>
              </w:rPr>
              <w:t>Reported</w:t>
            </w:r>
          </w:p>
        </w:tc>
      </w:tr>
      <w:tr>
        <w:tc>
          <w:tcPr>
            <w:tcW w:type="dxa" w:w="2494"/>
          </w:tcPr>
          <w:p>
            <w:pPr>
              <w:spacing w:after="40"/>
            </w:pPr>
            <w:r>
              <w:rPr>
                <w:sz w:val="16"/>
              </w:rPr>
            </w:r>
            <w:r>
              <w:rPr>
                <w:b w:val="0"/>
                <w:sz w:val="16"/>
              </w:rPr>
              <w:t>Container naming compliance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Automated check over every container shared in the period</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Tag and data completeness</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Automated audit over all modelled elements in scope, by discipline</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Unresolved high-priority clashes</w:t>
            </w:r>
          </w:p>
        </w:tc>
        <w:tc>
          <w:tcPr>
            <w:tcW w:type="dxa" w:w="1814"/>
          </w:tcPr>
          <w:p>
            <w:pPr>
              <w:spacing w:after="40"/>
            </w:pPr>
            <w:r>
              <w:rPr>
                <w:sz w:val="16"/>
              </w:rPr>
            </w:r>
            <w:r>
              <w:rPr>
                <w:b w:val="0"/>
                <w:sz w:val="16"/>
              </w:rPr>
              <w:t>0 at each data drop</w:t>
            </w:r>
          </w:p>
        </w:tc>
        <w:tc>
          <w:tcPr>
            <w:tcW w:type="dxa" w:w="3402"/>
          </w:tcPr>
          <w:p>
            <w:pPr>
              <w:spacing w:after="40"/>
            </w:pPr>
            <w:r>
              <w:rPr>
                <w:sz w:val="16"/>
              </w:rPr>
            </w:r>
            <w:r>
              <w:rPr>
                <w:b w:val="0"/>
                <w:sz w:val="16"/>
              </w:rPr>
              <w:t>Clash detection over the federated model</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Shares meeting the deadline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Count of task teams sharing by Tuesday 16:00, against those due</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Issues closed within the agreed date</w:t>
            </w:r>
          </w:p>
        </w:tc>
        <w:tc>
          <w:tcPr>
            <w:tcW w:type="dxa" w:w="1814"/>
          </w:tcPr>
          <w:p>
            <w:pPr>
              <w:spacing w:after="40"/>
            </w:pPr>
            <w:r>
              <w:rPr>
                <w:sz w:val="16"/>
              </w:rPr>
            </w:r>
            <w:r>
              <w:rPr>
                <w:b w:val="0"/>
                <w:sz w:val="16"/>
              </w:rPr>
              <w:t>90% or above</w:t>
            </w:r>
          </w:p>
        </w:tc>
        <w:tc>
          <w:tcPr>
            <w:tcW w:type="dxa" w:w="3402"/>
          </w:tcPr>
          <w:p>
            <w:pPr>
              <w:spacing w:after="40"/>
            </w:pPr>
            <w:r>
              <w:rPr>
                <w:sz w:val="16"/>
              </w:rPr>
            </w:r>
            <w:r>
              <w:rPr>
                <w:b w:val="0"/>
                <w:sz w:val="16"/>
              </w:rPr>
              <w:t>Coordination issue log</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Model health within thresholds</w:t>
            </w:r>
          </w:p>
        </w:tc>
        <w:tc>
          <w:tcPr>
            <w:tcW w:type="dxa" w:w="1814"/>
          </w:tcPr>
          <w:p>
            <w:pPr>
              <w:spacing w:after="40"/>
            </w:pPr>
            <w:r>
              <w:rPr>
                <w:sz w:val="16"/>
              </w:rPr>
            </w:r>
            <w:r>
              <w:rPr>
                <w:b w:val="0"/>
                <w:sz w:val="16"/>
              </w:rPr>
              <w:t>All models</w:t>
            </w:r>
          </w:p>
        </w:tc>
        <w:tc>
          <w:tcPr>
            <w:tcW w:type="dxa" w:w="3402"/>
          </w:tcPr>
          <w:p>
            <w:pPr>
              <w:spacing w:after="40"/>
            </w:pPr>
            <w:r>
              <w:rPr>
                <w:sz w:val="16"/>
              </w:rPr>
            </w:r>
            <w:r>
              <w:rPr>
                <w:b w:val="0"/>
                <w:sz w:val="16"/>
              </w:rPr>
              <w:t>File size, warning count and unplaced elements against Section 10.2</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Level of information need met</w:t>
            </w:r>
          </w:p>
        </w:tc>
        <w:tc>
          <w:tcPr>
            <w:tcW w:type="dxa" w:w="1814"/>
          </w:tcPr>
          <w:p>
            <w:pPr>
              <w:spacing w:after="40"/>
            </w:pPr>
            <w:r>
              <w:rPr>
                <w:sz w:val="16"/>
              </w:rPr>
            </w:r>
            <w:r>
              <w:rPr>
                <w:b w:val="0"/>
                <w:sz w:val="16"/>
              </w:rPr>
              <w:t>100% at each gate</w:t>
            </w:r>
          </w:p>
        </w:tc>
        <w:tc>
          <w:tcPr>
            <w:tcW w:type="dxa" w:w="3402"/>
          </w:tcPr>
          <w:p>
            <w:pPr>
              <w:spacing w:after="40"/>
            </w:pPr>
            <w:r>
              <w:rPr>
                <w:sz w:val="16"/>
              </w:rPr>
            </w:r>
            <w:r>
              <w:rPr>
                <w:b w:val="0"/>
                <w:sz w:val="16"/>
              </w:rPr>
              <w:t>Automated audit against the milestone, reported with the categories not in scope</w:t>
            </w:r>
          </w:p>
        </w:tc>
        <w:tc>
          <w:tcPr>
            <w:tcW w:type="dxa" w:w="1701"/>
          </w:tcPr>
          <w:p>
            <w:pPr>
              <w:spacing w:after="40"/>
            </w:pPr>
            <w:r>
              <w:rPr>
                <w:sz w:val="16"/>
              </w:rPr>
            </w:r>
            <w:r>
              <w:rPr>
                <w:b w:val="0"/>
                <w:sz w:val="16"/>
              </w:rPr>
              <w:t>At each gate</w:t>
            </w:r>
          </w:p>
        </w:tc>
      </w:tr>
      <w:tr>
        <w:tc>
          <w:tcPr>
            <w:tcW w:type="dxa" w:w="2494"/>
          </w:tcPr>
          <w:p>
            <w:pPr>
              <w:spacing w:after="40"/>
            </w:pPr>
            <w:r>
              <w:rPr>
                <w:sz w:val="16"/>
              </w:rPr>
            </w:r>
            <w:r>
              <w:rPr>
                <w:b w:val="0"/>
                <w:sz w:val="16"/>
              </w:rPr>
              <w:t>Asset data completeness</w:t>
            </w:r>
          </w:p>
        </w:tc>
        <w:tc>
          <w:tcPr>
            <w:tcW w:type="dxa" w:w="1814"/>
          </w:tcPr>
          <w:p>
            <w:pPr>
              <w:spacing w:after="40"/>
            </w:pPr>
            <w:r>
              <w:rPr>
                <w:sz w:val="16"/>
              </w:rPr>
            </w:r>
            <w:r>
              <w:rPr>
                <w:b w:val="0"/>
                <w:sz w:val="16"/>
              </w:rPr>
              <w:t>95% or above by tier at Deliverable D</w:t>
            </w:r>
          </w:p>
        </w:tc>
        <w:tc>
          <w:tcPr>
            <w:tcW w:type="dxa" w:w="3402"/>
          </w:tcPr>
          <w:p>
            <w:pPr>
              <w:spacing w:after="40"/>
            </w:pPr>
            <w:r>
              <w:rPr>
                <w:sz w:val="16"/>
              </w:rPr>
            </w:r>
            <w:r>
              <w:rPr>
                <w:b w:val="0"/>
                <w:sz w:val="16"/>
              </w:rPr>
              <w:t>Count of required fields populated, by tier and volume</w:t>
            </w:r>
          </w:p>
        </w:tc>
        <w:tc>
          <w:tcPr>
            <w:tcW w:type="dxa" w:w="1701"/>
          </w:tcPr>
          <w:p>
            <w:pPr>
              <w:spacing w:after="40"/>
            </w:pPr>
            <w:r>
              <w:rPr>
                <w:sz w:val="16"/>
              </w:rPr>
            </w:r>
            <w:r>
              <w:rPr>
                <w:b w:val="0"/>
                <w:sz w:val="16"/>
              </w:rPr>
              <w:t>Monthly from Stage 3.1</w:t>
            </w:r>
          </w:p>
        </w:tc>
      </w:tr>
      <w:tr>
        <w:tc>
          <w:tcPr>
            <w:tcW w:type="dxa" w:w="2494"/>
          </w:tcPr>
          <w:p>
            <w:pPr>
              <w:spacing w:after="40"/>
            </w:pPr>
            <w:r>
              <w:rPr>
                <w:sz w:val="16"/>
              </w:rPr>
            </w:r>
            <w:r>
              <w:rPr>
                <w:b w:val="0"/>
                <w:sz w:val="16"/>
              </w:rPr>
              <w:t>Deliverables issued on the planned date</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Master Information Delivery Plan, planned against actual</w:t>
            </w:r>
          </w:p>
        </w:tc>
        <w:tc>
          <w:tcPr>
            <w:tcW w:type="dxa" w:w="1701"/>
          </w:tcPr>
          <w:p>
            <w:pPr>
              <w:spacing w:after="40"/>
            </w:pPr>
            <w:r>
              <w:rPr>
                <w:sz w:val="16"/>
              </w:rPr>
            </w:r>
            <w:r>
              <w:rPr>
                <w:b w:val="0"/>
                <w:sz w:val="16"/>
              </w:rPr>
              <w:t>Monthly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READING A PERCENTAGE</w:t>
            </w:r>
          </w:p>
          <w:p>
            <w:r>
              <w:rPr>
                <w:b w:val="0"/>
                <w:sz w:val="19"/>
              </w:rPr>
              <w:t>A percentage without its scope is not a measurement. Every automated audit on this project reports the categories it did not scan alongside the result, and the two are read together. An empty scope reports as complete and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pPr>
        <w:pStyle w:val="Heading2"/>
      </w:pPr>
      <w:r>
        <w:t>12.1  Capability and capacity assessment</w:t>
      </w:r>
    </w:p>
    <w:p>
      <w:r>
        <w:rPr>
          <w:b w:val="0"/>
          <w:i w:val="0"/>
        </w:rPr>
        <w:t>BS EN ISO 19650-2 expects each prospective appointed party to be assessed for capability and capacity before appointment, and the assessment to be revisited when the team changes. It is recorded here so that a shortfall is addressed by training or resourcing at mobilisation rather than discovered at the first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268"/>
            <w:shd w:val="clear" w:fill="E8EDF3"/>
          </w:tcPr>
          <w:p>
            <w:r/>
            <w:r>
              <w:rPr>
                <w:b/>
                <w:color w:val="1F3654"/>
                <w:sz w:val="16"/>
              </w:rPr>
              <w:t>Assessed</w:t>
            </w:r>
          </w:p>
        </w:tc>
        <w:tc>
          <w:tcPr>
            <w:tcW w:type="dxa" w:w="3288"/>
            <w:shd w:val="clear" w:fill="E8EDF3"/>
          </w:tcPr>
          <w:p>
            <w:r/>
            <w:r>
              <w:rPr>
                <w:b/>
                <w:color w:val="1F3654"/>
                <w:sz w:val="16"/>
              </w:rPr>
              <w:t>Evidence sought</w:t>
            </w:r>
          </w:p>
        </w:tc>
        <w:tc>
          <w:tcPr>
            <w:tcW w:type="dxa" w:w="1814"/>
            <w:shd w:val="clear" w:fill="E8EDF3"/>
          </w:tcPr>
          <w:p>
            <w:r/>
            <w:r>
              <w:rPr>
                <w:b/>
                <w:color w:val="1F3654"/>
                <w:sz w:val="16"/>
              </w:rPr>
              <w:t>Party</w:t>
            </w:r>
          </w:p>
        </w:tc>
        <w:tc>
          <w:tcPr>
            <w:tcW w:type="dxa" w:w="2041"/>
            <w:shd w:val="clear" w:fill="E8EDF3"/>
          </w:tcPr>
          <w:p>
            <w:r/>
            <w:r>
              <w:rPr>
                <w:b/>
                <w:color w:val="1F3654"/>
                <w:sz w:val="16"/>
              </w:rPr>
              <w:t>Outcome</w:t>
            </w:r>
          </w:p>
        </w:tc>
      </w:tr>
      <w:tr>
        <w:tc>
          <w:tcPr>
            <w:tcW w:type="dxa" w:w="2268"/>
          </w:tcPr>
          <w:p>
            <w:pPr>
              <w:spacing w:after="40"/>
            </w:pPr>
            <w:r>
              <w:rPr>
                <w:sz w:val="16"/>
              </w:rPr>
            </w:r>
            <w:r>
              <w:rPr>
                <w:b w:val="0"/>
                <w:sz w:val="16"/>
              </w:rPr>
              <w:t>Authoring capability</w:t>
            </w:r>
          </w:p>
        </w:tc>
        <w:tc>
          <w:tcPr>
            <w:tcW w:type="dxa" w:w="3288"/>
          </w:tcPr>
          <w:p>
            <w:pPr>
              <w:spacing w:after="40"/>
            </w:pPr>
            <w:r>
              <w:rPr>
                <w:sz w:val="16"/>
              </w:rPr>
            </w:r>
            <w:r>
              <w:rPr>
                <w:b w:val="0"/>
                <w:sz w:val="16"/>
              </w:rPr>
              <w:t>Competence in the agreed software version; a sample model to the project conventions</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Capacity</w:t>
            </w:r>
          </w:p>
        </w:tc>
        <w:tc>
          <w:tcPr>
            <w:tcW w:type="dxa" w:w="3288"/>
          </w:tcPr>
          <w:p>
            <w:pPr>
              <w:spacing w:after="40"/>
            </w:pPr>
            <w:r>
              <w:rPr>
                <w:sz w:val="16"/>
              </w:rPr>
            </w:r>
            <w:r>
              <w:rPr>
                <w:b w:val="0"/>
                <w:sz w:val="16"/>
              </w:rPr>
              <w:t>Named individuals, allocated time, and cover for absence</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Information management competence</w:t>
            </w:r>
          </w:p>
        </w:tc>
        <w:tc>
          <w:tcPr>
            <w:tcW w:type="dxa" w:w="3288"/>
          </w:tcPr>
          <w:p>
            <w:pPr>
              <w:spacing w:after="40"/>
            </w:pPr>
            <w:r>
              <w:rPr>
                <w:sz w:val="16"/>
              </w:rPr>
            </w:r>
            <w:r>
              <w:rPr>
                <w:b w:val="0"/>
                <w:sz w:val="16"/>
              </w:rPr>
              <w:t>Understanding of the CDE, suitability codes and the pre-share check</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IT capability</w:t>
            </w:r>
          </w:p>
        </w:tc>
        <w:tc>
          <w:tcPr>
            <w:tcW w:type="dxa" w:w="3288"/>
          </w:tcPr>
          <w:p>
            <w:pPr>
              <w:spacing w:after="40"/>
            </w:pPr>
            <w:r>
              <w:rPr>
                <w:sz w:val="16"/>
              </w:rPr>
            </w:r>
            <w:r>
              <w:rPr>
                <w:b w:val="0"/>
                <w:sz w:val="16"/>
              </w:rPr>
              <w:t>Hardware, network and CDE access adequate for the model sizes in Section 7.2</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Security</w:t>
            </w:r>
          </w:p>
        </w:tc>
        <w:tc>
          <w:tcPr>
            <w:tcW w:type="dxa" w:w="3288"/>
          </w:tcPr>
          <w:p>
            <w:pPr>
              <w:spacing w:after="40"/>
            </w:pPr>
            <w:r>
              <w:rPr>
                <w:sz w:val="16"/>
              </w:rPr>
            </w:r>
            <w:r>
              <w:rPr>
                <w:b w:val="0"/>
                <w:sz w:val="16"/>
              </w:rPr>
              <w:t>Acceptance of the security-minded requirements in Section 8</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CAPABILITY IS ACTUALLY DEMONSTRATED</w:t>
            </w:r>
          </w:p>
          <w:p>
            <w:r>
              <w:rPr>
                <w:b w:val="0"/>
                <w:sz w:val="19"/>
              </w:rPr>
              <w:t>The Stage 0 exit gate — every appointed party produces a test model from the issued template and shares it once — is the practical form of this assessment. A party that cannot complete it has a capability or capacity gap that must be closed before Deliverable A, not during it.</w:t>
            </w:r>
          </w:p>
        </w:tc>
      </w:tr>
    </w:tbl>
    <w:p>
      <w:pPr>
        <w:spacing w:after="40"/>
      </w:pP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10.4)</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Specialty equipment only</w:t>
            </w:r>
          </w:p>
        </w:tc>
        <w:tc>
          <w:tcPr>
            <w:tcW w:type="dxa" w:w="2041"/>
          </w:tcPr>
          <w:p>
            <w:pPr>
              <w:spacing w:after="40"/>
            </w:pPr>
            <w:r>
              <w:rPr>
                <w:sz w:val="16"/>
              </w:rPr>
            </w:r>
            <w:r>
              <w:rPr>
                <w:b w:val="0"/>
                <w:sz w:val="16"/>
              </w:rPr>
              <w:t>Lighting fixtures and plumbing fixtures only</w:t>
            </w:r>
          </w:p>
        </w:tc>
        <w:tc>
          <w:tcPr>
            <w:tcW w:type="dxa" w:w="1247"/>
          </w:tcPr>
          <w:p>
            <w:pPr>
              <w:spacing w:after="40"/>
            </w:pPr>
            <w:r>
              <w:rPr>
                <w:sz w:val="16"/>
              </w:rPr>
            </w:r>
            <w:r>
              <w:rPr>
                <w:b w:val="0"/>
                <w:sz w:val="16"/>
              </w:rPr>
              <w:t>Casework only</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Mobilisation checklist</w:t>
      </w:r>
    </w:p>
    <w:p>
      <w:r>
        <w:rPr>
          <w:b w:val="0"/>
          <w:i w:val="0"/>
        </w:rPr>
        <w:t>Everything that must exist before the project can proceed, and the order it must exist in. An item marked OPEN is a live dependency: work downstream of it is either blocked or is being done on an assumption that may have to be undone.</w:t>
      </w:r>
    </w:p>
    <w:p>
      <w:pPr>
        <w:pStyle w:val="Heading2"/>
      </w:pPr>
      <w:r>
        <w:t>15.1  Before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w:t>
            </w:r>
          </w:p>
        </w:tc>
        <w:tc>
          <w:tcPr>
            <w:tcW w:type="dxa" w:w="3742"/>
          </w:tcPr>
          <w:p>
            <w:pPr>
              <w:spacing w:after="40"/>
            </w:pPr>
            <w:r>
              <w:rPr>
                <w:sz w:val="16"/>
              </w:rPr>
            </w:r>
            <w:r>
              <w:rPr>
                <w:b w:val="0"/>
                <w:sz w:val="16"/>
              </w:rPr>
              <w:t>Exchange information requirements received</w:t>
            </w:r>
          </w:p>
        </w:tc>
        <w:tc>
          <w:tcPr>
            <w:tcW w:type="dxa" w:w="1928"/>
          </w:tcPr>
          <w:p>
            <w:pPr>
              <w:spacing w:after="40"/>
            </w:pPr>
            <w:r>
              <w:rPr>
                <w:sz w:val="16"/>
              </w:rPr>
            </w:r>
            <w:r>
              <w:rPr>
                <w:b w:val="0"/>
                <w:sz w:val="16"/>
              </w:rPr>
              <w:t>Section 3.1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w:t>
            </w:r>
          </w:p>
        </w:tc>
        <w:tc>
          <w:tcPr>
            <w:tcW w:type="dxa" w:w="3742"/>
          </w:tcPr>
          <w:p>
            <w:pPr>
              <w:spacing w:after="40"/>
            </w:pPr>
            <w:r>
              <w:rPr>
                <w:sz w:val="16"/>
              </w:rPr>
            </w:r>
            <w:r>
              <w:rPr>
                <w:b w:val="0"/>
                <w:sz w:val="16"/>
              </w:rPr>
              <w:t>Originator register issued</w:t>
            </w:r>
          </w:p>
        </w:tc>
        <w:tc>
          <w:tcPr>
            <w:tcW w:type="dxa" w:w="1928"/>
          </w:tcPr>
          <w:p>
            <w:pPr>
              <w:spacing w:after="40"/>
            </w:pPr>
            <w:r>
              <w:rPr>
                <w:sz w:val="16"/>
              </w:rPr>
            </w:r>
            <w:r>
              <w:rPr>
                <w:b w:val="0"/>
                <w:sz w:val="16"/>
              </w:rPr>
              <w:t>Section 4.2.1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3</w:t>
            </w:r>
          </w:p>
        </w:tc>
        <w:tc>
          <w:tcPr>
            <w:tcW w:type="dxa" w:w="3742"/>
          </w:tcPr>
          <w:p>
            <w:pPr>
              <w:spacing w:after="40"/>
            </w:pPr>
            <w:r>
              <w:rPr>
                <w:sz w:val="16"/>
              </w:rPr>
            </w:r>
            <w:r>
              <w:rPr>
                <w:b w:val="0"/>
                <w:sz w:val="16"/>
              </w:rPr>
              <w:t>Standards hierarchy confirmed</w:t>
            </w:r>
          </w:p>
        </w:tc>
        <w:tc>
          <w:tcPr>
            <w:tcW w:type="dxa" w:w="1928"/>
          </w:tcPr>
          <w:p>
            <w:pPr>
              <w:spacing w:after="40"/>
            </w:pPr>
            <w:r>
              <w:rPr>
                <w:sz w:val="16"/>
              </w:rPr>
            </w:r>
            <w:r>
              <w:rPr>
                <w:b w:val="0"/>
                <w:sz w:val="16"/>
              </w:rPr>
              <w:t>Section 4.1.1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4</w:t>
            </w:r>
          </w:p>
        </w:tc>
        <w:tc>
          <w:tcPr>
            <w:tcW w:type="dxa" w:w="3742"/>
          </w:tcPr>
          <w:p>
            <w:pPr>
              <w:spacing w:after="40"/>
            </w:pPr>
            <w:r>
              <w:rPr>
                <w:sz w:val="16"/>
              </w:rPr>
            </w:r>
            <w:r>
              <w:rPr>
                <w:b w:val="0"/>
                <w:sz w:val="16"/>
              </w:rPr>
              <w:t>Coordinate system established and seed model issued</w:t>
            </w:r>
          </w:p>
        </w:tc>
        <w:tc>
          <w:tcPr>
            <w:tcW w:type="dxa" w:w="1928"/>
          </w:tcPr>
          <w:p>
            <w:pPr>
              <w:spacing w:after="40"/>
            </w:pPr>
            <w:r>
              <w:rPr>
                <w:sz w:val="16"/>
              </w:rPr>
            </w:r>
            <w:r>
              <w:rPr>
                <w:b w:val="0"/>
                <w:sz w:val="16"/>
              </w:rPr>
              <w:t>Section 6.3</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 — needs the survey]</w:t>
            </w:r>
          </w:p>
        </w:tc>
      </w:tr>
      <w:tr>
        <w:tc>
          <w:tcPr>
            <w:tcW w:type="dxa" w:w="567"/>
          </w:tcPr>
          <w:p>
            <w:pPr>
              <w:spacing w:after="40"/>
            </w:pPr>
            <w:r>
              <w:rPr>
                <w:sz w:val="16"/>
              </w:rPr>
            </w:r>
            <w:r>
              <w:rPr>
                <w:b w:val="0"/>
                <w:sz w:val="16"/>
              </w:rPr>
              <w:t>5</w:t>
            </w:r>
          </w:p>
        </w:tc>
        <w:tc>
          <w:tcPr>
            <w:tcW w:type="dxa" w:w="3742"/>
          </w:tcPr>
          <w:p>
            <w:pPr>
              <w:spacing w:after="40"/>
            </w:pPr>
            <w:r>
              <w:rPr>
                <w:sz w:val="16"/>
              </w:rPr>
            </w:r>
            <w:r>
              <w:rPr>
                <w:b w:val="0"/>
                <w:sz w:val="16"/>
              </w:rPr>
              <w:t>Level and grid register agreed</w:t>
            </w:r>
          </w:p>
        </w:tc>
        <w:tc>
          <w:tcPr>
            <w:tcW w:type="dxa" w:w="1928"/>
          </w:tcPr>
          <w:p>
            <w:pPr>
              <w:spacing w:after="40"/>
            </w:pPr>
            <w:r>
              <w:rPr>
                <w:sz w:val="16"/>
              </w:rPr>
            </w:r>
            <w:r>
              <w:rPr>
                <w:b w:val="0"/>
                <w:sz w:val="16"/>
              </w:rPr>
              <w:t>Section 6.4</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6</w:t>
            </w:r>
          </w:p>
        </w:tc>
        <w:tc>
          <w:tcPr>
            <w:tcW w:type="dxa" w:w="3742"/>
          </w:tcPr>
          <w:p>
            <w:pPr>
              <w:spacing w:after="40"/>
            </w:pPr>
            <w:r>
              <w:rPr>
                <w:sz w:val="16"/>
              </w:rPr>
            </w:r>
            <w:r>
              <w:rPr>
                <w:b w:val="0"/>
                <w:sz w:val="16"/>
              </w:rPr>
              <w:t>Software versions agreed and recorded</w:t>
            </w:r>
          </w:p>
        </w:tc>
        <w:tc>
          <w:tcPr>
            <w:tcW w:type="dxa" w:w="1928"/>
          </w:tcPr>
          <w:p>
            <w:pPr>
              <w:spacing w:after="40"/>
            </w:pPr>
            <w:r>
              <w:rPr>
                <w:sz w:val="16"/>
              </w:rPr>
            </w:r>
            <w:r>
              <w:rPr>
                <w:b w:val="0"/>
                <w:sz w:val="16"/>
              </w:rPr>
              <w:t>Section 6.5</w:t>
            </w:r>
          </w:p>
        </w:tc>
        <w:tc>
          <w:tcPr>
            <w:tcW w:type="dxa" w:w="1928"/>
          </w:tcPr>
          <w:p>
            <w:pPr>
              <w:spacing w:after="40"/>
            </w:pPr>
            <w:r>
              <w:rPr>
                <w:sz w:val="16"/>
              </w:rPr>
            </w:r>
            <w:r>
              <w:rPr>
                <w:b w:val="0"/>
                <w:sz w:val="16"/>
              </w:rPr>
              <w:t>All parties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7</w:t>
            </w:r>
          </w:p>
        </w:tc>
        <w:tc>
          <w:tcPr>
            <w:tcW w:type="dxa" w:w="3742"/>
          </w:tcPr>
          <w:p>
            <w:pPr>
              <w:spacing w:after="40"/>
            </w:pPr>
            <w:r>
              <w:rPr>
                <w:sz w:val="16"/>
              </w:rPr>
            </w:r>
            <w:r>
              <w:rPr>
                <w:b w:val="0"/>
                <w:sz w:val="16"/>
              </w:rPr>
              <w:t>Volume and workset convention decided</w:t>
            </w:r>
          </w:p>
        </w:tc>
        <w:tc>
          <w:tcPr>
            <w:tcW w:type="dxa" w:w="1928"/>
          </w:tcPr>
          <w:p>
            <w:pPr>
              <w:spacing w:after="40"/>
            </w:pPr>
            <w:r>
              <w:rPr>
                <w:sz w:val="16"/>
              </w:rPr>
            </w:r>
            <w:r>
              <w:rPr>
                <w:b w:val="0"/>
                <w:sz w:val="16"/>
              </w:rPr>
              <w:t>Sections 1.3 and 4.5</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8</w:t>
            </w:r>
          </w:p>
        </w:tc>
        <w:tc>
          <w:tcPr>
            <w:tcW w:type="dxa" w:w="3742"/>
          </w:tcPr>
          <w:p>
            <w:pPr>
              <w:spacing w:after="40"/>
            </w:pPr>
            <w:r>
              <w:rPr>
                <w:sz w:val="16"/>
              </w:rPr>
            </w:r>
            <w:r>
              <w:rPr>
                <w:b w:val="0"/>
                <w:sz w:val="16"/>
              </w:rPr>
              <w:t>Project template, family library and title blocks issued</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9</w:t>
            </w:r>
          </w:p>
        </w:tc>
        <w:tc>
          <w:tcPr>
            <w:tcW w:type="dxa" w:w="3742"/>
          </w:tcPr>
          <w:p>
            <w:pPr>
              <w:spacing w:after="40"/>
            </w:pPr>
            <w:r>
              <w:rPr>
                <w:sz w:val="16"/>
              </w:rPr>
            </w:r>
            <w:r>
              <w:rPr>
                <w:b w:val="0"/>
                <w:sz w:val="16"/>
              </w:rPr>
              <w:t>CDE provisioned, folders created, permissions applied</w:t>
            </w:r>
          </w:p>
        </w:tc>
        <w:tc>
          <w:tcPr>
            <w:tcW w:type="dxa" w:w="1928"/>
          </w:tcPr>
          <w:p>
            <w:pPr>
              <w:spacing w:after="40"/>
            </w:pPr>
            <w:r>
              <w:rPr>
                <w:sz w:val="16"/>
              </w:rPr>
            </w:r>
            <w:r>
              <w:rPr>
                <w:b w:val="0"/>
                <w:sz w:val="16"/>
              </w:rPr>
              <w:t>Sections 5.1 and 5.2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10</w:t>
            </w:r>
          </w:p>
        </w:tc>
        <w:tc>
          <w:tcPr>
            <w:tcW w:type="dxa" w:w="3742"/>
          </w:tcPr>
          <w:p>
            <w:pPr>
              <w:spacing w:after="40"/>
            </w:pPr>
            <w:r>
              <w:rPr>
                <w:sz w:val="16"/>
              </w:rPr>
            </w:r>
            <w:r>
              <w:rPr>
                <w:b w:val="0"/>
                <w:sz w:val="16"/>
              </w:rPr>
              <w:t>Restricted information classified</w:t>
            </w:r>
          </w:p>
        </w:tc>
        <w:tc>
          <w:tcPr>
            <w:tcW w:type="dxa" w:w="1928"/>
          </w:tcPr>
          <w:p>
            <w:pPr>
              <w:spacing w:after="40"/>
            </w:pPr>
            <w:r>
              <w:rPr>
                <w:sz w:val="16"/>
              </w:rPr>
            </w:r>
            <w:r>
              <w:rPr>
                <w:b w:val="0"/>
                <w:sz w:val="16"/>
              </w:rPr>
              <w:t>Section 8.1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11</w:t>
            </w:r>
          </w:p>
        </w:tc>
        <w:tc>
          <w:tcPr>
            <w:tcW w:type="dxa" w:w="3742"/>
          </w:tcPr>
          <w:p>
            <w:pPr>
              <w:spacing w:after="40"/>
            </w:pPr>
            <w:r>
              <w:rPr>
                <w:sz w:val="16"/>
              </w:rPr>
            </w:r>
            <w:r>
              <w:rPr>
                <w:b w:val="0"/>
                <w:sz w:val="16"/>
              </w:rPr>
              <w:t>This plan and the Project Delivery Playbook issued</w:t>
            </w:r>
          </w:p>
        </w:tc>
        <w:tc>
          <w:tcPr>
            <w:tcW w:type="dxa" w:w="1928"/>
          </w:tcPr>
          <w:p>
            <w:pPr>
              <w:spacing w:after="40"/>
            </w:pPr>
            <w:r>
              <w:rPr>
                <w:sz w:val="16"/>
              </w:rPr>
            </w:r>
            <w:r>
              <w:rPr>
                <w:b w:val="0"/>
                <w:sz w:val="16"/>
              </w:rPr>
              <w:t>—</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15.2  At or immediately after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12</w:t>
            </w:r>
          </w:p>
        </w:tc>
        <w:tc>
          <w:tcPr>
            <w:tcW w:type="dxa" w:w="3742"/>
          </w:tcPr>
          <w:p>
            <w:pPr>
              <w:spacing w:after="40"/>
            </w:pPr>
            <w:r>
              <w:rPr>
                <w:sz w:val="16"/>
              </w:rPr>
            </w:r>
            <w:r>
              <w:rPr>
                <w:b w:val="0"/>
                <w:sz w:val="16"/>
              </w:rPr>
              <w:t>Clash matrix agreed</w:t>
            </w:r>
          </w:p>
        </w:tc>
        <w:tc>
          <w:tcPr>
            <w:tcW w:type="dxa" w:w="1928"/>
          </w:tcPr>
          <w:p>
            <w:pPr>
              <w:spacing w:after="40"/>
            </w:pPr>
            <w:r>
              <w:rPr>
                <w:sz w:val="16"/>
              </w:rPr>
            </w:r>
            <w:r>
              <w:rPr>
                <w:b w:val="0"/>
                <w:sz w:val="16"/>
              </w:rPr>
              <w:t>Section 7.3.1</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13</w:t>
            </w:r>
          </w:p>
        </w:tc>
        <w:tc>
          <w:tcPr>
            <w:tcW w:type="dxa" w:w="3742"/>
          </w:tcPr>
          <w:p>
            <w:pPr>
              <w:spacing w:after="40"/>
            </w:pPr>
            <w:r>
              <w:rPr>
                <w:sz w:val="16"/>
              </w:rPr>
            </w:r>
            <w:r>
              <w:rPr>
                <w:b w:val="0"/>
                <w:sz w:val="16"/>
              </w:rPr>
              <w:t>Clearances and tolerances agreed</w:t>
            </w:r>
          </w:p>
        </w:tc>
        <w:tc>
          <w:tcPr>
            <w:tcW w:type="dxa" w:w="1928"/>
          </w:tcPr>
          <w:p>
            <w:pPr>
              <w:spacing w:after="40"/>
            </w:pPr>
            <w:r>
              <w:rPr>
                <w:sz w:val="16"/>
              </w:rPr>
            </w:r>
            <w:r>
              <w:rPr>
                <w:b w:val="0"/>
                <w:sz w:val="16"/>
              </w:rPr>
              <w:t>Section 7.3.2</w:t>
            </w:r>
          </w:p>
        </w:tc>
        <w:tc>
          <w:tcPr>
            <w:tcW w:type="dxa" w:w="1928"/>
          </w:tcPr>
          <w:p>
            <w:pPr>
              <w:spacing w:after="40"/>
            </w:pPr>
            <w:r>
              <w:rPr>
                <w:sz w:val="16"/>
              </w:rPr>
            </w:r>
            <w:r>
              <w:rPr>
                <w:b w:val="0"/>
                <w:sz w:val="16"/>
              </w:rPr>
              <w:t>MEP and structural leads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14</w:t>
            </w:r>
          </w:p>
        </w:tc>
        <w:tc>
          <w:tcPr>
            <w:tcW w:type="dxa" w:w="3742"/>
          </w:tcPr>
          <w:p>
            <w:pPr>
              <w:spacing w:after="40"/>
            </w:pPr>
            <w:r>
              <w:rPr>
                <w:sz w:val="16"/>
              </w:rPr>
            </w:r>
            <w:r>
              <w:rPr>
                <w:b w:val="0"/>
                <w:sz w:val="16"/>
              </w:rPr>
              <w:t>Model health thresholds set</w:t>
            </w:r>
          </w:p>
        </w:tc>
        <w:tc>
          <w:tcPr>
            <w:tcW w:type="dxa" w:w="1928"/>
          </w:tcPr>
          <w:p>
            <w:pPr>
              <w:spacing w:after="40"/>
            </w:pPr>
            <w:r>
              <w:rPr>
                <w:sz w:val="16"/>
              </w:rPr>
            </w:r>
            <w:r>
              <w:rPr>
                <w:b w:val="0"/>
                <w:sz w:val="16"/>
              </w:rPr>
              <w:t>Section 10.2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15</w:t>
            </w:r>
          </w:p>
        </w:tc>
        <w:tc>
          <w:tcPr>
            <w:tcW w:type="dxa" w:w="3742"/>
          </w:tcPr>
          <w:p>
            <w:pPr>
              <w:spacing w:after="40"/>
            </w:pPr>
            <w:r>
              <w:rPr>
                <w:sz w:val="16"/>
              </w:rPr>
            </w:r>
            <w:r>
              <w:rPr>
                <w:b w:val="0"/>
                <w:sz w:val="16"/>
              </w:rPr>
              <w:t>TIDPs returned by every appointed party</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Task Team Managers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16</w:t>
            </w:r>
          </w:p>
        </w:tc>
        <w:tc>
          <w:tcPr>
            <w:tcW w:type="dxa" w:w="3742"/>
          </w:tcPr>
          <w:p>
            <w:pPr>
              <w:spacing w:after="40"/>
            </w:pPr>
            <w:r>
              <w:rPr>
                <w:sz w:val="16"/>
              </w:rPr>
            </w:r>
            <w:r>
              <w:rPr>
                <w:b w:val="0"/>
                <w:sz w:val="16"/>
              </w:rPr>
              <w:t>MIDP baselined from the TIDPs</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17</w:t>
            </w:r>
          </w:p>
        </w:tc>
        <w:tc>
          <w:tcPr>
            <w:tcW w:type="dxa" w:w="3742"/>
          </w:tcPr>
          <w:p>
            <w:pPr>
              <w:spacing w:after="40"/>
            </w:pPr>
            <w:r>
              <w:rPr>
                <w:sz w:val="16"/>
              </w:rPr>
            </w:r>
            <w:r>
              <w:rPr>
                <w:b w:val="0"/>
                <w:sz w:val="16"/>
              </w:rPr>
              <w:t>Capability and capacity assessed</w:t>
            </w:r>
          </w:p>
        </w:tc>
        <w:tc>
          <w:tcPr>
            <w:tcW w:type="dxa" w:w="1928"/>
          </w:tcPr>
          <w:p>
            <w:pPr>
              <w:spacing w:after="40"/>
            </w:pPr>
            <w:r>
              <w:rPr>
                <w:sz w:val="16"/>
              </w:rPr>
            </w:r>
            <w:r>
              <w:rPr>
                <w:b w:val="0"/>
                <w:sz w:val="16"/>
              </w:rPr>
              <w:t>Section 12.1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w:t>
            </w:r>
          </w:p>
        </w:tc>
        <w:tc>
          <w:tcPr>
            <w:tcW w:type="dxa" w:w="3742"/>
          </w:tcPr>
          <w:p>
            <w:pPr>
              <w:spacing w:after="40"/>
            </w:pPr>
            <w:r>
              <w:rPr>
                <w:sz w:val="16"/>
              </w:rPr>
            </w:r>
            <w:r>
              <w:rPr>
                <w:b w:val="0"/>
                <w:sz w:val="16"/>
              </w:rPr>
              <w:t>Standards reconciliation schedule opened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18a</w:t>
            </w:r>
          </w:p>
        </w:tc>
        <w:tc>
          <w:tcPr>
            <w:tcW w:type="dxa" w:w="3742"/>
          </w:tcPr>
          <w:p>
            <w:pPr>
              <w:spacing w:after="40"/>
            </w:pPr>
            <w:r>
              <w:rPr>
                <w:sz w:val="16"/>
              </w:rPr>
            </w:r>
            <w:r>
              <w:rPr>
                <w:b w:val="0"/>
                <w:sz w:val="16"/>
              </w:rPr>
              <w:t>FF&amp;E catalogue scope confirmed — which categories are procured and specified through the FF&amp;E database</w:t>
            </w:r>
          </w:p>
        </w:tc>
        <w:tc>
          <w:tcPr>
            <w:tcW w:type="dxa" w:w="1928"/>
          </w:tcPr>
          <w:p>
            <w:pPr>
              <w:spacing w:after="40"/>
            </w:pPr>
            <w:r>
              <w:rPr>
                <w:sz w:val="16"/>
              </w:rPr>
            </w:r>
            <w:r>
              <w:rPr>
                <w:b w:val="0"/>
                <w:sz w:val="16"/>
              </w:rPr>
              <w:t>Section 14.2</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CONFIRM AT THE KICKOFF</w:t>
            </w:r>
          </w:p>
          <w:p>
            <w:r>
              <w:rPr>
                <w:b w:val="0"/>
                <w:sz w:val="19"/>
              </w:rPr>
              <w:t>Item 18a affects what is required at handover. The project position is that six categories carry an FF&amp;E reference: furniture, furniture systems, casework, lighting fixtures, plumbing fixtures and specialty equipment. That is the set the FF&amp;E export covers, so it is the set the close-out check enforces. If the Appointing Party procures only loose furniture through the catalogue, the other four categories come out of scope and the requirement narrows accordingly. Settling this at the kickoff costs nothing; settling it at Deliverable D means either an unenforceable requirement or a retrospective data-capture exercise.</w:t>
            </w:r>
          </w:p>
        </w:tc>
      </w:tr>
    </w:tbl>
    <w:p>
      <w:pPr>
        <w:spacing w:after="40"/>
      </w:pPr>
    </w:p>
    <w:p>
      <w:pPr>
        <w:pStyle w:val="Heading2"/>
      </w:pPr>
      <w:r>
        <w:t>15.3  Before the first coordination share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19</w:t>
            </w:r>
          </w:p>
        </w:tc>
        <w:tc>
          <w:tcPr>
            <w:tcW w:type="dxa" w:w="3742"/>
          </w:tcPr>
          <w:p>
            <w:pPr>
              <w:spacing w:after="40"/>
            </w:pPr>
            <w:r>
              <w:rPr>
                <w:sz w:val="16"/>
              </w:rPr>
            </w:r>
            <w:r>
              <w:rPr>
                <w:b w:val="0"/>
                <w:sz w:val="16"/>
              </w:rPr>
              <w:t>Every party has produced a test model and shared it once</w:t>
            </w:r>
          </w:p>
        </w:tc>
        <w:tc>
          <w:tcPr>
            <w:tcW w:type="dxa" w:w="1928"/>
          </w:tcPr>
          <w:p>
            <w:pPr>
              <w:spacing w:after="40"/>
            </w:pPr>
            <w:r>
              <w:rPr>
                <w:sz w:val="16"/>
              </w:rPr>
            </w:r>
            <w:r>
              <w:rPr>
                <w:b w:val="0"/>
                <w:sz w:val="16"/>
              </w:rPr>
              <w:t>Stage 0 gate</w:t>
            </w:r>
          </w:p>
        </w:tc>
        <w:tc>
          <w:tcPr>
            <w:tcW w:type="dxa" w:w="1928"/>
          </w:tcPr>
          <w:p>
            <w:pPr>
              <w:spacing w:after="40"/>
            </w:pPr>
            <w:r>
              <w:rPr>
                <w:sz w:val="16"/>
              </w:rPr>
            </w:r>
            <w:r>
              <w:rPr>
                <w:b w:val="0"/>
                <w:sz w:val="16"/>
              </w:rPr>
              <w:t>Task teams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20</w:t>
            </w:r>
          </w:p>
        </w:tc>
        <w:tc>
          <w:tcPr>
            <w:tcW w:type="dxa" w:w="3742"/>
          </w:tcPr>
          <w:p>
            <w:pPr>
              <w:spacing w:after="40"/>
            </w:pPr>
            <w:r>
              <w:rPr>
                <w:sz w:val="16"/>
              </w:rPr>
            </w:r>
            <w:r>
              <w:rPr>
                <w:b w:val="0"/>
                <w:sz w:val="16"/>
              </w:rPr>
              <w:t>Every model verified against the seed coordinates</w:t>
            </w:r>
          </w:p>
        </w:tc>
        <w:tc>
          <w:tcPr>
            <w:tcW w:type="dxa" w:w="1928"/>
          </w:tcPr>
          <w:p>
            <w:pPr>
              <w:spacing w:after="40"/>
            </w:pPr>
            <w:r>
              <w:rPr>
                <w:sz w:val="16"/>
              </w:rPr>
            </w:r>
            <w:r>
              <w:rPr>
                <w:b w:val="0"/>
                <w:sz w:val="16"/>
              </w:rPr>
              <w:t>Section 6.3.1</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21</w:t>
            </w:r>
          </w:p>
        </w:tc>
        <w:tc>
          <w:tcPr>
            <w:tcW w:type="dxa" w:w="3742"/>
          </w:tcPr>
          <w:p>
            <w:pPr>
              <w:spacing w:after="40"/>
            </w:pPr>
            <w:r>
              <w:rPr>
                <w:sz w:val="16"/>
              </w:rPr>
            </w:r>
            <w:r>
              <w:rPr>
                <w:b w:val="0"/>
                <w:sz w:val="16"/>
              </w:rPr>
              <w:t>IFC export configuration issued</w:t>
            </w:r>
          </w:p>
        </w:tc>
        <w:tc>
          <w:tcPr>
            <w:tcW w:type="dxa" w:w="1928"/>
          </w:tcPr>
          <w:p>
            <w:pPr>
              <w:spacing w:after="40"/>
            </w:pPr>
            <w:r>
              <w:rPr>
                <w:sz w:val="16"/>
              </w:rPr>
            </w:r>
            <w:r>
              <w:rPr>
                <w:b w:val="0"/>
                <w:sz w:val="16"/>
              </w:rPr>
              <w:t>Section 6.2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22</w:t>
            </w:r>
          </w:p>
        </w:tc>
        <w:tc>
          <w:tcPr>
            <w:tcW w:type="dxa" w:w="3742"/>
          </w:tcPr>
          <w:p>
            <w:pPr>
              <w:spacing w:after="40"/>
            </w:pPr>
            <w:r>
              <w:rPr>
                <w:sz w:val="16"/>
              </w:rPr>
            </w:r>
            <w:r>
              <w:rPr>
                <w:b w:val="0"/>
                <w:sz w:val="16"/>
              </w:rPr>
              <w:t>Rooms placed in every architectural model</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Architecture</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23</w:t>
            </w:r>
          </w:p>
        </w:tc>
        <w:tc>
          <w:tcPr>
            <w:tcW w:type="dxa" w:w="3742"/>
          </w:tcPr>
          <w:p>
            <w:pPr>
              <w:spacing w:after="40"/>
            </w:pPr>
            <w:r>
              <w:rPr>
                <w:sz w:val="16"/>
              </w:rPr>
            </w:r>
            <w:r>
              <w:rPr>
                <w:b w:val="0"/>
                <w:sz w:val="16"/>
              </w:rPr>
              <w:t>Shared parameter file issued and bound</w:t>
            </w:r>
          </w:p>
        </w:tc>
        <w:tc>
          <w:tcPr>
            <w:tcW w:type="dxa" w:w="1928"/>
          </w:tcPr>
          <w:p>
            <w:pPr>
              <w:spacing w:after="40"/>
            </w:pPr>
            <w:r>
              <w:rPr>
                <w:sz w:val="16"/>
              </w:rPr>
            </w:r>
            <w:r>
              <w:rPr>
                <w:b w:val="0"/>
                <w:sz w:val="16"/>
              </w:rPr>
              <w:t>Section 4.6</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15.4  Before Technical Design (Stage 2.3)</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24</w:t>
            </w:r>
          </w:p>
        </w:tc>
        <w:tc>
          <w:tcPr>
            <w:tcW w:type="dxa" w:w="3742"/>
          </w:tcPr>
          <w:p>
            <w:pPr>
              <w:spacing w:after="40"/>
            </w:pPr>
            <w:r>
              <w:rPr>
                <w:sz w:val="16"/>
              </w:rPr>
            </w:r>
            <w:r>
              <w:rPr>
                <w:b w:val="0"/>
                <w:sz w:val="16"/>
              </w:rPr>
              <w:t>Standards reconciliation schedule CLOSED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 — blocks detailed calculation]</w:t>
            </w:r>
          </w:p>
        </w:tc>
      </w:tr>
      <w:tr>
        <w:tc>
          <w:tcPr>
            <w:tcW w:type="dxa" w:w="567"/>
          </w:tcPr>
          <w:p>
            <w:pPr>
              <w:spacing w:after="40"/>
            </w:pPr>
            <w:r>
              <w:rPr>
                <w:sz w:val="16"/>
              </w:rPr>
            </w:r>
            <w:r>
              <w:rPr>
                <w:b w:val="0"/>
                <w:sz w:val="16"/>
              </w:rPr>
              <w:t>25</w:t>
            </w:r>
          </w:p>
        </w:tc>
        <w:tc>
          <w:tcPr>
            <w:tcW w:type="dxa" w:w="3742"/>
          </w:tcPr>
          <w:p>
            <w:pPr>
              <w:spacing w:after="40"/>
            </w:pPr>
            <w:r>
              <w:rPr>
                <w:sz w:val="16"/>
              </w:rPr>
            </w:r>
            <w:r>
              <w:rPr>
                <w:b w:val="0"/>
                <w:sz w:val="16"/>
              </w:rPr>
              <w:t>Product equivalence route agreed</w:t>
            </w:r>
          </w:p>
        </w:tc>
        <w:tc>
          <w:tcPr>
            <w:tcW w:type="dxa" w:w="1928"/>
          </w:tcPr>
          <w:p>
            <w:pPr>
              <w:spacing w:after="40"/>
            </w:pPr>
            <w:r>
              <w:rPr>
                <w:sz w:val="16"/>
              </w:rPr>
            </w:r>
            <w:r>
              <w:rPr>
                <w:b w:val="0"/>
                <w:sz w:val="16"/>
              </w:rPr>
              <w:t>Section 4.1.3 row SR-10</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26</w:t>
            </w:r>
          </w:p>
        </w:tc>
        <w:tc>
          <w:tcPr>
            <w:tcW w:type="dxa" w:w="3742"/>
          </w:tcPr>
          <w:p>
            <w:pPr>
              <w:spacing w:after="40"/>
            </w:pPr>
            <w:r>
              <w:rPr>
                <w:sz w:val="16"/>
              </w:rPr>
            </w:r>
            <w:r>
              <w:rPr>
                <w:b w:val="0"/>
                <w:sz w:val="16"/>
              </w:rPr>
              <w:t>Asset data capture method agreed with the contractor</w:t>
            </w:r>
          </w:p>
        </w:tc>
        <w:tc>
          <w:tcPr>
            <w:tcW w:type="dxa" w:w="1928"/>
          </w:tcPr>
          <w:p>
            <w:pPr>
              <w:spacing w:after="40"/>
            </w:pPr>
            <w:r>
              <w:rPr>
                <w:sz w:val="16"/>
              </w:rPr>
            </w:r>
            <w:r>
              <w:rPr>
                <w:b w:val="0"/>
                <w:sz w:val="16"/>
              </w:rPr>
              <w:t>Section 14</w:t>
            </w:r>
          </w:p>
        </w:tc>
        <w:tc>
          <w:tcPr>
            <w:tcW w:type="dxa" w:w="1928"/>
          </w:tcPr>
          <w:p>
            <w:pPr>
              <w:spacing w:after="40"/>
            </w:pPr>
            <w:r>
              <w:rPr>
                <w:sz w:val="16"/>
              </w:rPr>
            </w:r>
            <w:r>
              <w:rPr>
                <w:b w:val="0"/>
                <w:sz w:val="16"/>
              </w:rPr>
              <w:t>Contractor</w:t>
            </w:r>
          </w:p>
        </w:tc>
        <w:tc>
          <w:tcPr>
            <w:tcW w:type="dxa" w:w="1247"/>
          </w:tcPr>
          <w:p>
            <w:pPr>
              <w:spacing w:after="40"/>
            </w:pPr>
            <w:r>
              <w:rPr>
                <w:sz w:val="16"/>
              </w:rPr>
            </w:r>
            <w:r>
              <w:rPr>
                <w:b w:val="0"/>
                <w:sz w:val="16"/>
              </w:rPr>
              <w:t>[OPEN — Stage 3.1]</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 MATTERS</w:t>
            </w:r>
          </w:p>
          <w:p>
            <w:r>
              <w:rPr>
                <w:b w:val="0"/>
                <w:sz w:val="19"/>
              </w:rPr>
              <w:t>Items 1 to 11 gate the kickoff itself. Attempting to train a team on standards that are not yet decided produces a team that has to be retrained, and models that have to be redone.</w:t>
            </w:r>
          </w:p>
        </w:tc>
      </w:tr>
    </w:tbl>
    <w:p>
      <w:pPr>
        <w:spacing w:after="40"/>
      </w:pPr>
    </w:p>
    <w:p>
      <w:pPr>
        <w:pStyle w:val="Heading2"/>
      </w:pPr>
      <w:r>
        <w:t>15.5  Document reference register</w:t>
      </w:r>
    </w:p>
    <w:p>
      <w:r>
        <w:rPr>
          <w:b w:val="0"/>
          <w:i w:val="0"/>
        </w:rPr>
        <w:t>The reference each document in the mobilisation set carries. Earlier drafts allocated these inconsistently — the same reference was used for two documents, and one document carried two references across drafts — which makes a transmittal ambiguous about what it transmitted.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402"/>
            <w:shd w:val="clear" w:fill="E8EDF3"/>
          </w:tcPr>
          <w:p>
            <w:r/>
            <w:r>
              <w:rPr>
                <w:b/>
                <w:color w:val="1F3654"/>
                <w:sz w:val="17"/>
              </w:rPr>
              <w:t>Document</w:t>
            </w:r>
          </w:p>
        </w:tc>
        <w:tc>
          <w:tcPr>
            <w:tcW w:type="dxa" w:w="3742"/>
            <w:shd w:val="clear" w:fill="E8EDF3"/>
          </w:tcPr>
          <w:p>
            <w:r/>
            <w:r>
              <w:rPr>
                <w:b/>
                <w:color w:val="1F3654"/>
                <w:sz w:val="17"/>
              </w:rPr>
              <w:t>Reference</w:t>
            </w:r>
          </w:p>
        </w:tc>
        <w:tc>
          <w:tcPr>
            <w:tcW w:type="dxa" w:w="2268"/>
            <w:shd w:val="clear" w:fill="E8EDF3"/>
          </w:tcPr>
          <w:p>
            <w:r/>
            <w:r>
              <w:rPr>
                <w:b/>
                <w:color w:val="1F3654"/>
                <w:sz w:val="17"/>
              </w:rPr>
              <w:t>Issued as</w:t>
            </w:r>
          </w:p>
        </w:tc>
      </w:tr>
      <w:tr>
        <w:tc>
          <w:tcPr>
            <w:tcW w:type="dxa" w:w="3402"/>
          </w:tcPr>
          <w:p>
            <w:pPr>
              <w:spacing w:after="40"/>
            </w:pPr>
            <w:r>
              <w:rPr>
                <w:sz w:val="17"/>
              </w:rPr>
            </w:r>
            <w:r>
              <w:rPr>
                <w:b w:val="0"/>
                <w:sz w:val="17"/>
              </w:rPr>
              <w:t>BIM Execution Plan (this document)</w:t>
            </w:r>
          </w:p>
        </w:tc>
        <w:tc>
          <w:tcPr>
            <w:tcW w:type="dxa" w:w="3742"/>
          </w:tcPr>
          <w:p>
            <w:pPr>
              <w:spacing w:after="40"/>
            </w:pPr>
            <w:r>
              <w:rPr>
                <w:sz w:val="17"/>
              </w:rPr>
            </w:r>
            <w:r>
              <w:rPr>
                <w:b w:val="0"/>
                <w:sz w:val="17"/>
              </w:rPr>
              <w:t>KUT-SMB-ZZ-ZZ-RP-Z-0001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Project Delivery Playbook</w:t>
            </w:r>
          </w:p>
        </w:tc>
        <w:tc>
          <w:tcPr>
            <w:tcW w:type="dxa" w:w="3742"/>
          </w:tcPr>
          <w:p>
            <w:pPr>
              <w:spacing w:after="40"/>
            </w:pPr>
            <w:r>
              <w:rPr>
                <w:sz w:val="17"/>
              </w:rPr>
            </w:r>
            <w:r>
              <w:rPr>
                <w:b w:val="0"/>
                <w:sz w:val="17"/>
              </w:rPr>
              <w:t>KUT-SMB-ZZ-ZZ-RP-Z-0002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Document Control Standard</w:t>
            </w:r>
          </w:p>
        </w:tc>
        <w:tc>
          <w:tcPr>
            <w:tcW w:type="dxa" w:w="3742"/>
          </w:tcPr>
          <w:p>
            <w:pPr>
              <w:spacing w:after="40"/>
            </w:pPr>
            <w:r>
              <w:rPr>
                <w:sz w:val="17"/>
              </w:rPr>
            </w:r>
            <w:r>
              <w:rPr>
                <w:b w:val="0"/>
                <w:sz w:val="17"/>
              </w:rPr>
              <w:t>KUT-SMB-ZZ-ZZ-RP-Z-0003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Standards localisation note</w:t>
            </w:r>
          </w:p>
        </w:tc>
        <w:tc>
          <w:tcPr>
            <w:tcW w:type="dxa" w:w="3742"/>
          </w:tcPr>
          <w:p>
            <w:pPr>
              <w:spacing w:after="40"/>
            </w:pPr>
            <w:r>
              <w:rPr>
                <w:sz w:val="17"/>
              </w:rPr>
            </w:r>
            <w:r>
              <w:rPr>
                <w:b w:val="0"/>
                <w:sz w:val="17"/>
              </w:rPr>
              <w:t>KUT-SMB-ZZ-ZZ-RP-Z-0005</w:t>
            </w:r>
          </w:p>
        </w:tc>
        <w:tc>
          <w:tcPr>
            <w:tcW w:type="dxa" w:w="2268"/>
          </w:tcPr>
          <w:p>
            <w:pPr>
              <w:spacing w:after="40"/>
            </w:pPr>
            <w:r>
              <w:rPr>
                <w:sz w:val="17"/>
              </w:rPr>
            </w:r>
            <w:r>
              <w:rPr>
                <w:b w:val="0"/>
                <w:sz w:val="17"/>
              </w:rPr>
              <w:t>S3</w:t>
            </w:r>
          </w:p>
        </w:tc>
      </w:tr>
      <w:tr>
        <w:tc>
          <w:tcPr>
            <w:tcW w:type="dxa" w:w="3402"/>
          </w:tcPr>
          <w:p>
            <w:pPr>
              <w:spacing w:after="40"/>
            </w:pPr>
            <w:r>
              <w:rPr>
                <w:sz w:val="17"/>
              </w:rPr>
            </w:r>
            <w:r>
              <w:rPr>
                <w:b w:val="0"/>
                <w:sz w:val="17"/>
              </w:rPr>
              <w:t>Master Information Delivery Plan</w:t>
            </w:r>
          </w:p>
        </w:tc>
        <w:tc>
          <w:tcPr>
            <w:tcW w:type="dxa" w:w="3742"/>
          </w:tcPr>
          <w:p>
            <w:pPr>
              <w:spacing w:after="40"/>
            </w:pPr>
            <w:r>
              <w:rPr>
                <w:sz w:val="17"/>
              </w:rPr>
            </w:r>
            <w:r>
              <w:rPr>
                <w:b w:val="0"/>
                <w:sz w:val="17"/>
              </w:rPr>
              <w:t>KUT-SMB-ZZ-ZZ-SC-Z-0001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Responsibility matrix</w:t>
            </w:r>
          </w:p>
        </w:tc>
        <w:tc>
          <w:tcPr>
            <w:tcW w:type="dxa" w:w="3742"/>
          </w:tcPr>
          <w:p>
            <w:pPr>
              <w:spacing w:after="40"/>
            </w:pPr>
            <w:r>
              <w:rPr>
                <w:sz w:val="17"/>
              </w:rPr>
            </w:r>
            <w:r>
              <w:rPr>
                <w:b w:val="0"/>
                <w:sz w:val="17"/>
              </w:rPr>
              <w:t>KUT-SMB-ZZ-ZZ-SC-Z-0002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Level and grid register</w:t>
            </w:r>
          </w:p>
        </w:tc>
        <w:tc>
          <w:tcPr>
            <w:tcW w:type="dxa" w:w="3742"/>
          </w:tcPr>
          <w:p>
            <w:pPr>
              <w:spacing w:after="40"/>
            </w:pPr>
            <w:r>
              <w:rPr>
                <w:sz w:val="17"/>
              </w:rPr>
            </w:r>
            <w:r>
              <w:rPr>
                <w:b w:val="0"/>
                <w:sz w:val="17"/>
              </w:rPr>
              <w:t>KUT-SMB-ZZ-ZZ-SC-Z-0003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Originator code register</w:t>
            </w:r>
          </w:p>
        </w:tc>
        <w:tc>
          <w:tcPr>
            <w:tcW w:type="dxa" w:w="3742"/>
          </w:tcPr>
          <w:p>
            <w:pPr>
              <w:spacing w:after="40"/>
            </w:pPr>
            <w:r>
              <w:rPr>
                <w:sz w:val="17"/>
              </w:rPr>
            </w:r>
            <w:r>
              <w:rPr>
                <w:b w:val="0"/>
                <w:sz w:val="17"/>
              </w:rPr>
              <w:t>[FILL — on issue by the Lead Appointed Party]</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Mobilisation information request</w:t>
            </w:r>
          </w:p>
        </w:tc>
        <w:tc>
          <w:tcPr>
            <w:tcW w:type="dxa" w:w="3742"/>
          </w:tcPr>
          <w:p>
            <w:pPr>
              <w:spacing w:after="40"/>
            </w:pPr>
            <w:r>
              <w:rPr>
                <w:sz w:val="17"/>
              </w:rPr>
            </w:r>
            <w:r>
              <w:rPr>
                <w:b w:val="0"/>
                <w:sz w:val="17"/>
              </w:rPr>
              <w:t>KUT-SMB-ZZ-ZZ-RP-Z-0004</w:t>
            </w:r>
          </w:p>
        </w:tc>
        <w:tc>
          <w:tcPr>
            <w:tcW w:type="dxa" w:w="2268"/>
          </w:tcPr>
          <w:p>
            <w:pPr>
              <w:spacing w:after="40"/>
            </w:pPr>
            <w:r>
              <w:rPr>
                <w:sz w:val="17"/>
              </w:rPr>
            </w:r>
            <w:r>
              <w:rPr>
                <w:b w:val="0"/>
                <w:sz w:val="17"/>
              </w:rPr>
              <w:t>S3</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ALLOCATION</w:t>
            </w:r>
          </w:p>
          <w:p>
            <w:r>
              <w:rPr>
                <w:b w:val="0"/>
                <w:sz w:val="19"/>
              </w:rPr>
              <w:t>A reference is allocated once and never reused, including for a document that is withdrawn or replaced. The Document Control Standard states the rule; this table is the current allocation.</w:t>
            </w:r>
          </w:p>
        </w:tc>
      </w:tr>
    </w:tbl>
    <w:p>
      <w:pPr>
        <w:spacing w:after="40"/>
      </w:pPr>
    </w:p>
    <w:p>
      <w:r>
        <w:br w:type="page"/>
      </w:r>
    </w:p>
    <w:p>
      <w:pPr>
        <w:pStyle w:val="Heading1"/>
        <w:pBdr>
          <w:bottom w:val="single" w:sz="8" w:space="4" w:color="1F3654"/>
        </w:pBdr>
      </w:pPr>
      <w:r>
        <w:t>16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(KUT-SMB-ZZ-ZZ-RP-Z-0002)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F2</w:t>
            </w:r>
          </w:p>
        </w:tc>
        <w:tc>
          <w:tcPr>
            <w:tcW w:type="dxa" w:w="5896"/>
          </w:tcPr>
          <w:p>
            <w:pPr>
              <w:spacing w:after="40"/>
            </w:pPr>
            <w:r>
              <w:rPr>
                <w:sz w:val="17"/>
              </w:rPr>
            </w:r>
            <w:r>
              <w:rPr>
                <w:b w:val="0"/>
                <w:sz w:val="17"/>
              </w:rPr>
              <w:t>Document Control Standard (KUT-SMB-ZZ-ZZ-RP-Z-0003)</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 DRAFT. Not yet issued through the Common Data Environment. Uncontrolled when printed. Generated by tools/build_bep.py; do not hand-edit - regenerate. parts-sha256:b2c2ac0238fca977f654deff78503b3b7099238c78e1011e090d7ad04484fef3 inputs-sha256:c70e38c1c94e23d0d23ff00e6f5ef8f42eb163ec0ac4ee236ecde151941e80ab</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