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KUT-PLN-ZZ-ZZ-RP-Z-0001</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[FILL — S3 for review, or A1 on acceptance]</w:t>
            </w:r>
          </w:p>
        </w:tc>
      </w:tr>
      <w:tr>
        <w:tc>
          <w:tcPr>
            <w:tcW w:type="dxa" w:w="2835"/>
          </w:tcPr>
          <w:p>
            <w:r>
              <w:rPr>
                <w:b/>
                <w:color w:val="444F5C"/>
                <w:sz w:val="18"/>
              </w:rPr>
              <w:t>BEP type</w:t>
            </w:r>
          </w:p>
        </w:tc>
        <w:tc>
          <w:tcPr>
            <w:tcW w:type="dxa" w:w="6576"/>
          </w:tcPr>
          <w:p>
            <w:r>
              <w:rPr>
                <w:sz w:val="18"/>
              </w:rPr>
              <w:t>[FILL — pre-appointment / post-appointment]</w:t>
            </w:r>
          </w:p>
        </w:tc>
      </w:tr>
      <w:tr>
        <w:tc>
          <w:tcPr>
            <w:tcW w:type="dxa" w:w="2835"/>
          </w:tcPr>
          <w:p>
            <w:r>
              <w:rPr>
                <w:b/>
                <w:color w:val="444F5C"/>
                <w:sz w:val="18"/>
              </w:rPr>
              <w:t>Owned by</w:t>
            </w:r>
          </w:p>
        </w:tc>
        <w:tc>
          <w:tcPr>
            <w:tcW w:type="dxa" w:w="6576"/>
          </w:tcPr>
          <w:p>
            <w:r>
              <w:rPr>
                <w:sz w:val="18"/>
              </w:rPr>
              <w:t>Symbion Consulting Group Studios (Lead Appointed Party)</w:t>
            </w:r>
          </w:p>
        </w:tc>
      </w:tr>
      <w:tr>
        <w:tc>
          <w:tcPr>
            <w:tcW w:type="dxa" w:w="2835"/>
          </w:tcPr>
          <w:p>
            <w:r>
              <w:rPr>
                <w:b/>
                <w:color w:val="444F5C"/>
                <w:sz w:val="18"/>
              </w:rPr>
              <w:t>Prepared and maintained by</w:t>
            </w:r>
          </w:p>
        </w:tc>
        <w:tc>
          <w:tcPr>
            <w:tcW w:type="dxa" w:w="6576"/>
          </w:tcPr>
          <w:p>
            <w:r>
              <w:rPr>
                <w:sz w:val="18"/>
              </w:rPr>
              <w:t>Planscape Consulting Engineers Ltd (Information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Issued through the Common Data Environment. Uncontrolled when printed.</w:t>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Planscape</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(KUT-PLN-ZZ-ZZ-RP-Z-0002)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[FILL — temple and ancillary buildings, gross floor area, storeys]</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w:t>
            </w:r>
          </w:p>
        </w:tc>
        <w:tc>
          <w:tcPr>
            <w:tcW w:type="dxa" w:w="3515"/>
          </w:tcPr>
          <w:p>
            <w:pPr>
              <w:spacing w:after="40"/>
            </w:pPr>
            <w:r>
              <w:rPr>
                <w:sz w:val="17"/>
              </w:rPr>
            </w:r>
            <w:r>
              <w:rPr>
                <w:b w:val="0"/>
                <w:sz w:val="17"/>
              </w:rPr>
              <w:t>Bill of quantities produced from the model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Planscape Consulting Engineers Ltd</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Standards adopted</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10.3</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pPr>
        <w:pStyle w:val="Heading2"/>
      </w:pPr>
      <w:r>
        <w:t>4.2  Container naming convention</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to 06 per Section 1.3; 00 site-wide; ZZ all volumes</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GF, 01 upward, RF,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M3, M2, DR, SH, SC, SP, RP, CA, RD, MS, PP, CR</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S, M, E, P, FP, LV, G.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code length — to be confirmed</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val="0"/>
                <w:sz w:val="19"/>
              </w:rPr>
              <w:t xml:space="preserve">The automated compliance check enforces an originator code of exactly three characters. The Information Manager default code is four characters. Two options are available: issue three-character codes to every organisation, or extend the permitted range to three to six characters, which is closer to general ISO 19650 practice. The Appointing Party originator register determines which applies. </w:t>
            </w:r>
            <w:r>
              <w:rPr>
                <w:b/>
                <w:sz w:val="19"/>
              </w:rPr>
              <w:t>No container is to be numbered until this is confirmed</w:t>
            </w:r>
            <w:r>
              <w:rPr>
                <w:b w:val="0"/>
                <w:sz w:val="19"/>
              </w:rPr>
              <w:t>, because renumbering after Deliverable A affects every issued document.</w:t>
            </w:r>
          </w:p>
        </w:tc>
      </w:tr>
    </w:tbl>
    <w:p>
      <w:pPr>
        <w:spacing w:after="40"/>
      </w:pPr>
    </w:p>
    <w:p>
      <w:pPr>
        <w:pStyle w:val="Heading3"/>
      </w:pPr>
      <w:r>
        <w:t>4.2.2  Role code and asset discipline code</w:t>
      </w:r>
    </w:p>
    <w:p>
      <w:r>
        <w:rPr>
          <w:b w:val="0"/>
          <w:i w:val="0"/>
        </w:rPr>
        <w:t>The role field in a container name and the discipline field in an asset identifier are distinct. Container role codes may include Z for federated and multi-discipline containers. Asset discipline codes are limited to the eight discipline codes and are validated on every element.</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[FILL — agreed survey datum, project base point, survey point, true north and shared coordinate origin.] The coordinate system is defined at mobilisation and locked thereafter. All models are linked by shared coordinates.</w:t>
      </w: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2"/>
      </w:pPr>
      <w:r>
        <w:t>7.2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[FILL — which discipline models are tested against which]</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[FILL — hard clash tolerance and clearance rules by interface]</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2"/>
      </w:pPr>
      <w:r>
        <w:t>7.3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issue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M40 to M43</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M45</w:t>
            </w:r>
          </w:p>
        </w:tc>
      </w:tr>
    </w:tbl>
    <w:p>
      <w:pPr>
        <w:spacing w:after="40"/>
      </w:pP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10.3</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10.3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10.3)</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start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start</w:t>
            </w:r>
          </w:p>
        </w:tc>
        <w:tc>
          <w:tcPr>
            <w:tcW w:type="dxa" w:w="7143"/>
          </w:tcPr>
          <w:p>
            <w:pPr>
              <w:spacing w:after="40"/>
            </w:pPr>
            <w:r>
              <w:rPr>
                <w:sz w:val="17"/>
              </w:rPr>
            </w:r>
            <w:r>
              <w:rPr>
                <w:b w:val="0"/>
                <w:sz w:val="17"/>
              </w:rPr>
              <w:t>The date the warranty period commences, which is not always the installation date. Where they differ, both are recorded</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(KUT-PLN-ZZ-ZZ-RP-Z-0002)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Issued through the Common Data Environment. Uncontrolled when printed.</dc:description>
  <cp:lastModifiedBy>Planscape Consulting Engineers Ltd</cp:lastModifiedBy>
  <cp:revision>1</cp:revision>
  <dcterms:created xsi:type="dcterms:W3CDTF">2013-12-23T23:15:00Z</dcterms:created>
  <dcterms:modified xsi:type="dcterms:W3CDTF">2013-12-23T23:15:00Z</dcterms:modified>
  <cp:category>Project procedure</cp:category>
</cp:coreProperties>
</file>