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Symbol library and SLD — Revit smoke-test checklist</w:t>
      </w:r>
    </w:p>
    <w:p>
      <w:r>
        <w:rPr>
          <w:i/>
          <w:color w:val="808080"/>
          <w:sz w:val="16"/>
        </w:rPr>
        <w:t>Generated from docs/examples/SYMBOL_SLD/smoke_test.json — do not edit this document; edit the JSON and re-run tools/build_smoke_test.py.</w:t>
      </w:r>
    </w:p>
    <w:p>
      <w:pPr>
        <w:pStyle w:val="Heading1"/>
      </w:pPr>
      <w:r>
        <w:t>Session</w:t>
      </w:r>
    </w:p>
    <w:tbl>
      <w:tblPr>
        <w:tblStyle w:val="TableGrid"/>
        <w:tblW w:type="auto" w:w="0"/>
        <w:tblLook w:firstColumn="1" w:firstRow="1" w:lastColumn="0" w:lastRow="0" w:noHBand="0" w:noVBand="1" w:val="04A0"/>
      </w:tblPr>
      <w:tblGrid>
        <w:gridCol w:w="5320"/>
        <w:gridCol w:w="5320"/>
      </w:tblGrid>
      <w:tr>
        <w:tc>
          <w:tcPr>
            <w:tcW w:type="dxa" w:w="5320"/>
          </w:tcPr>
          <w:p>
            <w:r>
              <w:rPr>
                <w:b/>
              </w:rPr>
              <w:t>Project / model</w:t>
            </w:r>
          </w:p>
        </w:tc>
        <w:tc>
          <w:tcPr>
            <w:tcW w:type="dxa" w:w="5320"/>
          </w:tcPr>
          <w:p>
            <w:r/>
          </w:p>
        </w:tc>
      </w:tr>
      <w:tr>
        <w:tc>
          <w:tcPr>
            <w:tcW w:type="dxa" w:w="5320"/>
          </w:tcPr>
          <w:p>
            <w:r>
              <w:rPr>
                <w:b/>
              </w:rPr>
              <w:t>Revit version + build</w:t>
            </w:r>
          </w:p>
        </w:tc>
        <w:tc>
          <w:tcPr>
            <w:tcW w:type="dxa" w:w="5320"/>
          </w:tcPr>
          <w:p>
            <w:r/>
          </w:p>
        </w:tc>
      </w:tr>
      <w:tr>
        <w:tc>
          <w:tcPr>
            <w:tcW w:type="dxa" w:w="5320"/>
          </w:tcPr>
          <w:p>
            <w:r>
              <w:rPr>
                <w:b/>
              </w:rPr>
              <w:t>Tester</w:t>
            </w:r>
          </w:p>
        </w:tc>
        <w:tc>
          <w:tcPr>
            <w:tcW w:type="dxa" w:w="5320"/>
          </w:tcPr>
          <w:p>
            <w:r/>
          </w:p>
        </w:tc>
      </w:tr>
      <w:tr>
        <w:tc>
          <w:tcPr>
            <w:tcW w:type="dxa" w:w="5320"/>
          </w:tcPr>
          <w:p>
            <w:r>
              <w:rPr>
                <w:b/>
              </w:rPr>
              <w:t>Date</w:t>
            </w:r>
          </w:p>
        </w:tc>
        <w:tc>
          <w:tcPr>
            <w:tcW w:type="dxa" w:w="5320"/>
          </w:tcPr>
          <w:p>
            <w:r/>
          </w:p>
        </w:tc>
      </w:tr>
      <w:tr>
        <w:tc>
          <w:tcPr>
            <w:tcW w:type="dxa" w:w="5320"/>
          </w:tcPr>
          <w:p>
            <w:r>
              <w:rPr>
                <w:b/>
              </w:rPr>
              <w:t>Plugin DLL path (from the live .addin)</w:t>
            </w:r>
          </w:p>
        </w:tc>
        <w:tc>
          <w:tcPr>
            <w:tcW w:type="dxa" w:w="5320"/>
          </w:tcPr>
          <w:p>
            <w:r/>
          </w:p>
        </w:tc>
      </w:tr>
    </w:tbl>
    <w:p>
      <w:pPr>
        <w:pStyle w:val="Heading1"/>
      </w:pPr>
      <w:r>
        <w:t>Before you start</w:t>
      </w:r>
    </w:p>
    <w:p>
      <w:r>
        <w:t>Ordered manual checklist for the symbol library and single line diagram work ported from PR #951 on branch `claude/port-symbol-sld`: SLD symbols resolved through the shared content roots, solid filled regions, line weights by subcategory, the 73 indexed symbols, orientation variants and their audit, the standard switch that now swaps placed instances, the template preflight and the Symbols and SLD workflow. Everything below builds clean and its wiring is machine-checked (`python tools/check_smoke_test.py`), but **none of it has been exercised in Revit**. Walk this list on a test model before relying on it.</w:t>
      </w:r>
    </w:p>
    <w:p>
      <w:r>
        <w:t>Steps marked **pre-cleared offline** have had their contract asserted by the CI gate: the command tag resolves, the button is on the declared panel, tab and section with that label, and the workflow preset contains the step. What the gate cannot prove is anything about geometry: whether a symbol draws, whether a line is heavier, whether the right family is swapped in. That is what this session is for.</w:t>
      </w:r>
    </w:p>
    <w:p>
      <w:pPr>
        <w:pStyle w:val="Heading1"/>
      </w:pPr>
      <w:r>
        <w:t>Setup</w:t>
      </w:r>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 Deploy this checkout and confirm Revit loads it</w:t>
            </w:r>
          </w:p>
        </w:tc>
      </w:tr>
      <w:tr>
        <w:tc>
          <w:tcPr>
            <w:tcW w:type="dxa" w:w="5320"/>
          </w:tcPr>
          <w:p>
            <w:r>
              <w:rPr>
                <w:b/>
                <w:sz w:val="18"/>
              </w:rPr>
              <w:t>Run it via</w:t>
            </w:r>
          </w:p>
        </w:tc>
        <w:tc>
          <w:tcPr>
            <w:tcW w:type="dxa" w:w="5320"/>
          </w:tcPr>
          <w:p>
            <w:r>
              <w:rPr>
                <w:b w:val="0"/>
                <w:sz w:val="18"/>
              </w:rPr>
              <w:t>Revit-native action — no STING command</w:t>
            </w:r>
          </w:p>
        </w:tc>
      </w:tr>
      <w:tr>
        <w:tc>
          <w:tcPr>
            <w:tcW w:type="dxa" w:w="5320"/>
          </w:tcPr>
          <w:p>
            <w:r>
              <w:rPr>
                <w:b/>
                <w:sz w:val="18"/>
              </w:rPr>
              <w:t>Expected</w:t>
            </w:r>
          </w:p>
        </w:tc>
        <w:tc>
          <w:tcPr>
            <w:tcW w:type="dxa" w:w="5320"/>
          </w:tcPr>
          <w:p>
            <w:r>
              <w:rPr>
                <w:b w:val="0"/>
                <w:sz w:val="18"/>
              </w:rPr>
              <w:t>The STING dock panel loads with no startup error, and the live manifest points at this checkout's CompiledPlugin folder</w:t>
            </w:r>
          </w:p>
        </w:tc>
      </w:tr>
      <w:tr>
        <w:tc>
          <w:tcPr>
            <w:tcW w:type="dxa" w:w="5320"/>
          </w:tcPr>
          <w:p>
            <w:r>
              <w:rPr>
                <w:b/>
                <w:sz w:val="18"/>
              </w:rPr>
              <w:t>Note</w:t>
            </w:r>
          </w:p>
        </w:tc>
        <w:tc>
          <w:tcPr>
            <w:tcW w:type="dxa" w:w="5320"/>
          </w:tcPr>
          <w:p>
            <w:r>
              <w:rPr>
                <w:b w:val="0"/>
                <w:sz w:val="18"/>
              </w:rPr>
              <w:t>Close Revit and the Planscape Companion tray app first (both hold StingTools.dll). Run deploy.bat from this checkout; it builds and rewrites the manifest. Then confirm the live path: grep -h "&lt;Assembly&gt;" "$APPDATA/Autodesk/Revit/Addins"/*/StingTools.addin | sort -u. Copying into a folder the manifest does not name fails silently. The log is StingTools_yyyyMMdd.log beside that DLL, dated, not StingTools.log.</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2. Open a saved test model with electrical panels and circuits, some MEP elements, and a DWG import on a level</w:t>
            </w:r>
          </w:p>
        </w:tc>
      </w:tr>
      <w:tr>
        <w:tc>
          <w:tcPr>
            <w:tcW w:type="dxa" w:w="5320"/>
          </w:tcPr>
          <w:p>
            <w:r>
              <w:rPr>
                <w:b/>
                <w:sz w:val="18"/>
              </w:rPr>
              <w:t>Run it via</w:t>
            </w:r>
          </w:p>
        </w:tc>
        <w:tc>
          <w:tcPr>
            <w:tcW w:type="dxa" w:w="5320"/>
          </w:tcPr>
          <w:p>
            <w:r>
              <w:rPr>
                <w:b w:val="0"/>
                <w:sz w:val="18"/>
              </w:rPr>
              <w:t>Revit-native action — no STING command</w:t>
            </w:r>
          </w:p>
        </w:tc>
      </w:tr>
      <w:tr>
        <w:tc>
          <w:tcPr>
            <w:tcW w:type="dxa" w:w="5320"/>
          </w:tcPr>
          <w:p>
            <w:r>
              <w:rPr>
                <w:b/>
                <w:sz w:val="18"/>
              </w:rPr>
              <w:t>Expected</w:t>
            </w:r>
          </w:p>
        </w:tc>
        <w:tc>
          <w:tcPr>
            <w:tcW w:type="dxa" w:w="5320"/>
          </w:tcPr>
          <w:p>
            <w:r>
              <w:rPr>
                <w:b w:val="0"/>
                <w:sz w:val="18"/>
              </w:rPr>
              <w:t>Model opens; Revit Options &gt; File Locations &gt; Family Template Files points at a folder holding Metric Generic Annotation.rft</w:t>
            </w:r>
          </w:p>
        </w:tc>
      </w:tr>
      <w:tr>
        <w:tc>
          <w:tcPr>
            <w:tcW w:type="dxa" w:w="5320"/>
          </w:tcPr>
          <w:p>
            <w:r>
              <w:rPr>
                <w:b/>
                <w:sz w:val="18"/>
              </w:rPr>
              <w:t>Depends on</w:t>
            </w:r>
          </w:p>
        </w:tc>
        <w:tc>
          <w:tcPr>
            <w:tcW w:type="dxa" w:w="5320"/>
          </w:tcPr>
          <w:p>
            <w:r>
              <w:rPr>
                <w:b w:val="0"/>
                <w:sz w:val="18"/>
              </w:rPr>
              <w:t>step(s) 1</w:t>
            </w:r>
          </w:p>
        </w:tc>
      </w:tr>
      <w:tr>
        <w:tc>
          <w:tcPr>
            <w:tcW w:type="dxa" w:w="5320"/>
          </w:tcPr>
          <w:p>
            <w:r>
              <w:rPr>
                <w:b/>
                <w:sz w:val="18"/>
              </w:rPr>
              <w:t>Note</w:t>
            </w:r>
          </w:p>
        </w:tc>
        <w:tc>
          <w:tcPr>
            <w:tcW w:type="dxa" w:w="5320"/>
          </w:tcPr>
          <w:p>
            <w:r>
              <w:rPr>
                <w:b w:val="0"/>
                <w:sz w:val="18"/>
              </w:rPr>
              <w:t>The model must be saved: SLD symbols resolve from the project's _BIM_COORD/Families/Symbols folder, which an unsaved model does not have.</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3. Load Params   [pre-cleared offline]</w:t>
            </w:r>
          </w:p>
        </w:tc>
      </w:tr>
      <w:tr>
        <w:tc>
          <w:tcPr>
            <w:tcW w:type="dxa" w:w="5320"/>
          </w:tcPr>
          <w:p>
            <w:r>
              <w:rPr>
                <w:b/>
                <w:sz w:val="18"/>
              </w:rPr>
              <w:t>Run it via</w:t>
            </w:r>
          </w:p>
        </w:tc>
        <w:tc>
          <w:tcPr>
            <w:tcW w:type="dxa" w:w="5320"/>
          </w:tcPr>
          <w:p>
            <w:r>
              <w:rPr>
                <w:b w:val="0"/>
                <w:sz w:val="18"/>
              </w:rPr>
              <w:t>Load Params (STING panel · CREATE TAGS · ⚙ SETUP)</w:t>
            </w:r>
          </w:p>
        </w:tc>
      </w:tr>
      <w:tr>
        <w:tc>
          <w:tcPr>
            <w:tcW w:type="dxa" w:w="5320"/>
          </w:tcPr>
          <w:p>
            <w:r>
              <w:rPr>
                <w:b/>
                <w:sz w:val="18"/>
              </w:rPr>
              <w:t>Expected</w:t>
            </w:r>
          </w:p>
        </w:tc>
        <w:tc>
          <w:tcPr>
            <w:tcW w:type="dxa" w:w="5320"/>
          </w:tcPr>
          <w:p>
            <w:r>
              <w:rPr>
                <w:b w:val="0"/>
                <w:sz w:val="18"/>
              </w:rPr>
              <w:t>Binds without error; the summary dialog reports the binding passes</w:t>
            </w:r>
          </w:p>
        </w:tc>
      </w:tr>
      <w:tr>
        <w:tc>
          <w:tcPr>
            <w:tcW w:type="dxa" w:w="5320"/>
          </w:tcPr>
          <w:p>
            <w:r>
              <w:rPr>
                <w:b/>
                <w:sz w:val="18"/>
              </w:rPr>
              <w:t>Command tag</w:t>
            </w:r>
          </w:p>
        </w:tc>
        <w:tc>
          <w:tcPr>
            <w:tcW w:type="dxa" w:w="5320"/>
          </w:tcPr>
          <w:p>
            <w:r>
              <w:rPr>
                <w:b w:val="0"/>
                <w:sz w:val="18"/>
              </w:rPr>
              <w:t>LoadSharedParams</w:t>
            </w:r>
          </w:p>
        </w:tc>
      </w:tr>
      <w:tr>
        <w:tc>
          <w:tcPr>
            <w:tcW w:type="dxa" w:w="5320"/>
          </w:tcPr>
          <w:p>
            <w:r>
              <w:rPr>
                <w:b/>
                <w:sz w:val="18"/>
              </w:rPr>
              <w:t>Depends on</w:t>
            </w:r>
          </w:p>
        </w:tc>
        <w:tc>
          <w:tcPr>
            <w:tcW w:type="dxa" w:w="5320"/>
          </w:tcPr>
          <w:p>
            <w:r>
              <w:rPr>
                <w:b w:val="0"/>
                <w:sz w:val="18"/>
              </w:rPr>
              <w:t>step(s) 2</w:t>
            </w:r>
          </w:p>
        </w:tc>
      </w:tr>
      <w:tr>
        <w:tc>
          <w:tcPr>
            <w:tcW w:type="dxa" w:w="5320"/>
          </w:tcPr>
          <w:p>
            <w:r>
              <w:rPr>
                <w:b/>
                <w:sz w:val="18"/>
              </w:rPr>
              <w:t>Result</w:t>
            </w:r>
          </w:p>
        </w:tc>
        <w:tc>
          <w:tcPr>
            <w:tcW w:type="dxa" w:w="5320"/>
          </w:tcPr>
          <w:p>
            <w:r>
              <w:rPr>
                <w:b w:val="0"/>
                <w:sz w:val="18"/>
              </w:rPr>
              <w:t>[  ] PASS      [  ] FAIL      [  ] NOT RUN</w:t>
            </w:r>
          </w:p>
        </w:tc>
      </w:tr>
    </w:tbl>
    <w:p/>
    <w:p>
      <w:pPr>
        <w:pStyle w:val="Heading1"/>
      </w:pPr>
      <w:r>
        <w:t>Symbol library</w:t>
      </w:r>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4. Preflight with the template folder set   [pre-cleared offline]</w:t>
            </w:r>
          </w:p>
        </w:tc>
      </w:tr>
      <w:tr>
        <w:tc>
          <w:tcPr>
            <w:tcW w:type="dxa" w:w="5320"/>
          </w:tcPr>
          <w:p>
            <w:r>
              <w:rPr>
                <w:b/>
                <w:sz w:val="18"/>
              </w:rPr>
              <w:t>Run it via</w:t>
            </w:r>
          </w:p>
        </w:tc>
        <w:tc>
          <w:tcPr>
            <w:tcW w:type="dxa" w:w="5320"/>
          </w:tcPr>
          <w:p>
            <w:r>
              <w:rPr>
                <w:b w:val="0"/>
                <w:sz w:val="18"/>
              </w:rPr>
              <w:t>Preflight (STING panel · SETUP · SYMBOLS &amp; DEVICES)</w:t>
            </w:r>
          </w:p>
        </w:tc>
      </w:tr>
      <w:tr>
        <w:tc>
          <w:tcPr>
            <w:tcW w:type="dxa" w:w="5320"/>
          </w:tcPr>
          <w:p>
            <w:r>
              <w:rPr>
                <w:b/>
                <w:sz w:val="18"/>
              </w:rPr>
              <w:t>Expected</w:t>
            </w:r>
          </w:p>
        </w:tc>
        <w:tc>
          <w:tcPr>
            <w:tcW w:type="dxa" w:w="5320"/>
          </w:tcPr>
          <w:p>
            <w:r>
              <w:rPr>
                <w:b w:val="0"/>
                <w:sz w:val="18"/>
              </w:rPr>
              <w:t>Dialog title reads "Preflight OK: ready to build"; template folder YES with its path; Generic Annotation .rft OK</w:t>
            </w:r>
          </w:p>
        </w:tc>
      </w:tr>
      <w:tr>
        <w:tc>
          <w:tcPr>
            <w:tcW w:type="dxa" w:w="5320"/>
          </w:tcPr>
          <w:p>
            <w:r>
              <w:rPr>
                <w:b/>
                <w:sz w:val="18"/>
              </w:rPr>
              <w:t>Command tag</w:t>
            </w:r>
          </w:p>
        </w:tc>
        <w:tc>
          <w:tcPr>
            <w:tcW w:type="dxa" w:w="5320"/>
          </w:tcPr>
          <w:p>
            <w:r>
              <w:rPr>
                <w:b w:val="0"/>
                <w:sz w:val="18"/>
              </w:rPr>
              <w:t>Symbols_Preflight</w:t>
            </w:r>
          </w:p>
        </w:tc>
      </w:tr>
      <w:tr>
        <w:tc>
          <w:tcPr>
            <w:tcW w:type="dxa" w:w="5320"/>
          </w:tcPr>
          <w:p>
            <w:r>
              <w:rPr>
                <w:b/>
                <w:sz w:val="18"/>
              </w:rPr>
              <w:t>Depends on</w:t>
            </w:r>
          </w:p>
        </w:tc>
        <w:tc>
          <w:tcPr>
            <w:tcW w:type="dxa" w:w="5320"/>
          </w:tcPr>
          <w:p>
            <w:r>
              <w:rPr>
                <w:b w:val="0"/>
                <w:sz w:val="18"/>
              </w:rPr>
              <w:t>step(s) 2</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5. Preflight and Create All with the template folder cleared   [pre-cleared offline]</w:t>
            </w:r>
          </w:p>
        </w:tc>
      </w:tr>
      <w:tr>
        <w:tc>
          <w:tcPr>
            <w:tcW w:type="dxa" w:w="5320"/>
          </w:tcPr>
          <w:p>
            <w:r>
              <w:rPr>
                <w:b/>
                <w:sz w:val="18"/>
              </w:rPr>
              <w:t>Run it via</w:t>
            </w:r>
          </w:p>
        </w:tc>
        <w:tc>
          <w:tcPr>
            <w:tcW w:type="dxa" w:w="5320"/>
          </w:tcPr>
          <w:p>
            <w:r>
              <w:rPr>
                <w:b w:val="0"/>
                <w:sz w:val="18"/>
              </w:rPr>
              <w:t>★ Create All (STING panel · SETUP · SYMBOLS &amp; DEVICES)</w:t>
            </w:r>
          </w:p>
        </w:tc>
      </w:tr>
      <w:tr>
        <w:tc>
          <w:tcPr>
            <w:tcW w:type="dxa" w:w="5320"/>
          </w:tcPr>
          <w:p>
            <w:r>
              <w:rPr>
                <w:b/>
                <w:sz w:val="18"/>
              </w:rPr>
              <w:t>Expected</w:t>
            </w:r>
          </w:p>
        </w:tc>
        <w:tc>
          <w:tcPr>
            <w:tcW w:type="dxa" w:w="5320"/>
          </w:tcPr>
          <w:p>
            <w:r>
              <w:rPr>
                <w:b w:val="0"/>
                <w:sz w:val="18"/>
              </w:rPr>
              <w:t>Temporarily point Family Template Files at an empty folder. Preflight reports "Preflight failed" with the fix; Create All cancels with "Preflight failed: building now would produce 0 families" and builds nothing. Restore the folder afterwards</w:t>
            </w:r>
          </w:p>
        </w:tc>
      </w:tr>
      <w:tr>
        <w:tc>
          <w:tcPr>
            <w:tcW w:type="dxa" w:w="5320"/>
          </w:tcPr>
          <w:p>
            <w:r>
              <w:rPr>
                <w:b/>
                <w:sz w:val="18"/>
              </w:rPr>
              <w:t>Command tag</w:t>
            </w:r>
          </w:p>
        </w:tc>
        <w:tc>
          <w:tcPr>
            <w:tcW w:type="dxa" w:w="5320"/>
          </w:tcPr>
          <w:p>
            <w:r>
              <w:rPr>
                <w:b w:val="0"/>
                <w:sz w:val="18"/>
              </w:rPr>
              <w:t>Symbols_CreateAll</w:t>
            </w:r>
          </w:p>
        </w:tc>
      </w:tr>
      <w:tr>
        <w:tc>
          <w:tcPr>
            <w:tcW w:type="dxa" w:w="5320"/>
          </w:tcPr>
          <w:p>
            <w:r>
              <w:rPr>
                <w:b/>
                <w:sz w:val="18"/>
              </w:rPr>
              <w:t>Depends on</w:t>
            </w:r>
          </w:p>
        </w:tc>
        <w:tc>
          <w:tcPr>
            <w:tcW w:type="dxa" w:w="5320"/>
          </w:tcPr>
          <w:p>
            <w:r>
              <w:rPr>
                <w:b w:val="0"/>
                <w:sz w:val="18"/>
              </w:rPr>
              <w:t>step(s) 4</w:t>
            </w:r>
          </w:p>
        </w:tc>
      </w:tr>
      <w:tr>
        <w:tc>
          <w:tcPr>
            <w:tcW w:type="dxa" w:w="5320"/>
          </w:tcPr>
          <w:p>
            <w:r>
              <w:rPr>
                <w:b/>
                <w:sz w:val="18"/>
              </w:rPr>
              <w:t>Note</w:t>
            </w:r>
          </w:p>
        </w:tc>
        <w:tc>
          <w:tcPr>
            <w:tcW w:type="dxa" w:w="5320"/>
          </w:tcPr>
          <w:p>
            <w:r>
              <w:rPr>
                <w:b w:val="0"/>
                <w:sz w:val="18"/>
              </w:rPr>
              <w:t>If ResolveTemplateFolder finds a fallback folder on this machine the failure cannot be provoked this way; say so in the log rather than marking the step passed.</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6. Create All with the template folder restored   [pre-cleared offline]</w:t>
            </w:r>
          </w:p>
        </w:tc>
      </w:tr>
      <w:tr>
        <w:tc>
          <w:tcPr>
            <w:tcW w:type="dxa" w:w="5320"/>
          </w:tcPr>
          <w:p>
            <w:r>
              <w:rPr>
                <w:b/>
                <w:sz w:val="18"/>
              </w:rPr>
              <w:t>Run it via</w:t>
            </w:r>
          </w:p>
        </w:tc>
        <w:tc>
          <w:tcPr>
            <w:tcW w:type="dxa" w:w="5320"/>
          </w:tcPr>
          <w:p>
            <w:r>
              <w:rPr>
                <w:b w:val="0"/>
                <w:sz w:val="18"/>
              </w:rPr>
              <w:t>★ Create All (STING panel · SETUP · SYMBOLS &amp; DEVICES)</w:t>
            </w:r>
          </w:p>
        </w:tc>
      </w:tr>
      <w:tr>
        <w:tc>
          <w:tcPr>
            <w:tcW w:type="dxa" w:w="5320"/>
          </w:tcPr>
          <w:p>
            <w:r>
              <w:rPr>
                <w:b/>
                <w:sz w:val="18"/>
              </w:rPr>
              <w:t>Expected</w:t>
            </w:r>
          </w:p>
        </w:tc>
        <w:tc>
          <w:tcPr>
            <w:tcW w:type="dxa" w:w="5320"/>
          </w:tcPr>
          <w:p>
            <w:r>
              <w:rPr>
                <w:b w:val="0"/>
                <w:sz w:val="18"/>
              </w:rPr>
              <w:t>Report shows Created &gt; 0 and Failed 0 or close to it. The 73 families added from the MEP symbols index (sockets, containment, fire alarm devices, switches, HVAC plant, pipe and plumbing accessories, SLD boards and final circuits) exist under _BIM_COORD/Families/Symbols. A "Degraded fills" section appears only if a template had no FilledRegionType; any symbol it lists draws as an outline</w:t>
            </w:r>
          </w:p>
        </w:tc>
      </w:tr>
      <w:tr>
        <w:tc>
          <w:tcPr>
            <w:tcW w:type="dxa" w:w="5320"/>
          </w:tcPr>
          <w:p>
            <w:r>
              <w:rPr>
                <w:b/>
                <w:sz w:val="18"/>
              </w:rPr>
              <w:t>Command tag</w:t>
            </w:r>
          </w:p>
        </w:tc>
        <w:tc>
          <w:tcPr>
            <w:tcW w:type="dxa" w:w="5320"/>
          </w:tcPr>
          <w:p>
            <w:r>
              <w:rPr>
                <w:b w:val="0"/>
                <w:sz w:val="18"/>
              </w:rPr>
              <w:t>Symbols_CreateAll</w:t>
            </w:r>
          </w:p>
        </w:tc>
      </w:tr>
      <w:tr>
        <w:tc>
          <w:tcPr>
            <w:tcW w:type="dxa" w:w="5320"/>
          </w:tcPr>
          <w:p>
            <w:r>
              <w:rPr>
                <w:b/>
                <w:sz w:val="18"/>
              </w:rPr>
              <w:t>Artefact</w:t>
            </w:r>
          </w:p>
        </w:tc>
        <w:tc>
          <w:tcPr>
            <w:tcW w:type="dxa" w:w="5320"/>
          </w:tcPr>
          <w:p>
            <w:r>
              <w:rPr>
                <w:b w:val="0"/>
                <w:sz w:val="18"/>
              </w:rPr>
              <w:t>&lt;project root&gt;/_data/_BIM_COORD/Families/Symbols/**/*.rfa</w:t>
            </w:r>
          </w:p>
        </w:tc>
      </w:tr>
      <w:tr>
        <w:tc>
          <w:tcPr>
            <w:tcW w:type="dxa" w:w="5320"/>
          </w:tcPr>
          <w:p>
            <w:r>
              <w:rPr>
                <w:b/>
                <w:sz w:val="18"/>
              </w:rPr>
              <w:t>Depends on</w:t>
            </w:r>
          </w:p>
        </w:tc>
        <w:tc>
          <w:tcPr>
            <w:tcW w:type="dxa" w:w="5320"/>
          </w:tcPr>
          <w:p>
            <w:r>
              <w:rPr>
                <w:b w:val="0"/>
                <w:sz w:val="18"/>
              </w:rPr>
              <w:t>step(s) 4</w:t>
            </w:r>
          </w:p>
        </w:tc>
      </w:tr>
      <w:tr>
        <w:tc>
          <w:tcPr>
            <w:tcW w:type="dxa" w:w="5320"/>
          </w:tcPr>
          <w:p>
            <w:r>
              <w:rPr>
                <w:b/>
                <w:sz w:val="18"/>
              </w:rPr>
              <w:t>Note</w:t>
            </w:r>
          </w:p>
        </w:tc>
        <w:tc>
          <w:tcPr>
            <w:tcW w:type="dxa" w:w="5320"/>
          </w:tcPr>
          <w:p>
            <w:r>
              <w:rPr>
                <w:b w:val="0"/>
                <w:sz w:val="18"/>
              </w:rPr>
              <w:t>Spot-check ELEC_PANEL_BOARD, FP_CALL_POINT, PLM_TRAP_P and SLD_MDB. Expect warnings naming 25 new model symbols with no realSizeMm (for example ELEC_ATS, ELEC_CONTAINMENT_TRAY, PLM_TRAP_P). Those were left unset deliberately rather than given a guessed size, so they build at paper size; the warning is the correct outcome.</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7. Open SLD_MCB.rfa and a fill-only symbol, and check line weights and fills</w:t>
            </w:r>
          </w:p>
        </w:tc>
      </w:tr>
      <w:tr>
        <w:tc>
          <w:tcPr>
            <w:tcW w:type="dxa" w:w="5320"/>
          </w:tcPr>
          <w:p>
            <w:r>
              <w:rPr>
                <w:b/>
                <w:sz w:val="18"/>
              </w:rPr>
              <w:t>Run it via</w:t>
            </w:r>
          </w:p>
        </w:tc>
        <w:tc>
          <w:tcPr>
            <w:tcW w:type="dxa" w:w="5320"/>
          </w:tcPr>
          <w:p>
            <w:r>
              <w:rPr>
                <w:b w:val="0"/>
                <w:sz w:val="18"/>
              </w:rPr>
              <w:t>Revit-native action — no STING command</w:t>
            </w:r>
          </w:p>
        </w:tc>
      </w:tr>
      <w:tr>
        <w:tc>
          <w:tcPr>
            <w:tcW w:type="dxa" w:w="5320"/>
          </w:tcPr>
          <w:p>
            <w:r>
              <w:rPr>
                <w:b/>
                <w:sz w:val="18"/>
              </w:rPr>
              <w:t>Expected</w:t>
            </w:r>
          </w:p>
        </w:tc>
        <w:tc>
          <w:tcPr>
            <w:tcW w:type="dxa" w:w="5320"/>
          </w:tcPr>
          <w:p>
            <w:r>
              <w:rPr>
                <w:b w:val="0"/>
                <w:sz w:val="18"/>
              </w:rPr>
              <w:t>In the MCB family, Manage &gt; Object Styles shows subcategories Outline (weight 1), Main (4) and Conductor (4); the breaker box is visibly lighter than the diagonal and the stubs. A fill-only symbol renders solid black, not blank</w:t>
            </w:r>
          </w:p>
        </w:tc>
      </w:tr>
      <w:tr>
        <w:tc>
          <w:tcPr>
            <w:tcW w:type="dxa" w:w="5320"/>
          </w:tcPr>
          <w:p>
            <w:r>
              <w:rPr>
                <w:b/>
                <w:sz w:val="18"/>
              </w:rPr>
              <w:t>Depends on</w:t>
            </w:r>
          </w:p>
        </w:tc>
        <w:tc>
          <w:tcPr>
            <w:tcW w:type="dxa" w:w="5320"/>
          </w:tcPr>
          <w:p>
            <w:r>
              <w:rPr>
                <w:b w:val="0"/>
                <w:sz w:val="18"/>
              </w:rPr>
              <w:t>step(s) 6</w:t>
            </w:r>
          </w:p>
        </w:tc>
      </w:tr>
      <w:tr>
        <w:tc>
          <w:tcPr>
            <w:tcW w:type="dxa" w:w="5320"/>
          </w:tcPr>
          <w:p>
            <w:r>
              <w:rPr>
                <w:b/>
                <w:sz w:val="18"/>
              </w:rPr>
              <w:t>Note</w:t>
            </w:r>
          </w:p>
        </w:tc>
        <w:tc>
          <w:tcPr>
            <w:tcW w:type="dxa" w:w="5320"/>
          </w:tcPr>
          <w:p>
            <w:r>
              <w:rPr>
                <w:b w:val="0"/>
                <w:sz w:val="18"/>
              </w:rPr>
              <w:t>LTG_SURFACE_SQ is a fill-only symbol. Weights come from Data/Symbols/STING_LINE_WEIGHTS.json; a project override at _BIM_COORD/line_weights.json is merged over it on the next Create All.</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8. Validate the catalogues   [pre-cleared offline]</w:t>
            </w:r>
          </w:p>
        </w:tc>
      </w:tr>
      <w:tr>
        <w:tc>
          <w:tcPr>
            <w:tcW w:type="dxa" w:w="5320"/>
          </w:tcPr>
          <w:p>
            <w:r>
              <w:rPr>
                <w:b/>
                <w:sz w:val="18"/>
              </w:rPr>
              <w:t>Run it via</w:t>
            </w:r>
          </w:p>
        </w:tc>
        <w:tc>
          <w:tcPr>
            <w:tcW w:type="dxa" w:w="5320"/>
          </w:tcPr>
          <w:p>
            <w:r>
              <w:rPr>
                <w:b w:val="0"/>
                <w:sz w:val="18"/>
              </w:rPr>
              <w:t>Validate (STING panel · SETUP · Create &amp; standards)</w:t>
            </w:r>
          </w:p>
        </w:tc>
      </w:tr>
      <w:tr>
        <w:tc>
          <w:tcPr>
            <w:tcW w:type="dxa" w:w="5320"/>
          </w:tcPr>
          <w:p>
            <w:r>
              <w:rPr>
                <w:b/>
                <w:sz w:val="18"/>
              </w:rPr>
              <w:t>Expected</w:t>
            </w:r>
          </w:p>
        </w:tc>
        <w:tc>
          <w:tcPr>
            <w:tcW w:type="dxa" w:w="5320"/>
          </w:tcPr>
          <w:p>
            <w:r>
              <w:rPr>
                <w:b w:val="0"/>
                <w:sz w:val="18"/>
              </w:rPr>
              <w:t>Catalogues BAD 0; extent violations and empty geometry do not name any of the 73 new symbols</w:t>
            </w:r>
          </w:p>
        </w:tc>
      </w:tr>
      <w:tr>
        <w:tc>
          <w:tcPr>
            <w:tcW w:type="dxa" w:w="5320"/>
          </w:tcPr>
          <w:p>
            <w:r>
              <w:rPr>
                <w:b/>
                <w:sz w:val="18"/>
              </w:rPr>
              <w:t>Command tag</w:t>
            </w:r>
          </w:p>
        </w:tc>
        <w:tc>
          <w:tcPr>
            <w:tcW w:type="dxa" w:w="5320"/>
          </w:tcPr>
          <w:p>
            <w:r>
              <w:rPr>
                <w:b w:val="0"/>
                <w:sz w:val="18"/>
              </w:rPr>
              <w:t>Symbols_Validate</w:t>
            </w:r>
          </w:p>
        </w:tc>
      </w:tr>
      <w:tr>
        <w:tc>
          <w:tcPr>
            <w:tcW w:type="dxa" w:w="5320"/>
          </w:tcPr>
          <w:p>
            <w:r>
              <w:rPr>
                <w:b/>
                <w:sz w:val="18"/>
              </w:rPr>
              <w:t>Depends on</w:t>
            </w:r>
          </w:p>
        </w:tc>
        <w:tc>
          <w:tcPr>
            <w:tcW w:type="dxa" w:w="5320"/>
          </w:tcPr>
          <w:p>
            <w:r>
              <w:rPr>
                <w:b w:val="0"/>
                <w:sz w:val="18"/>
              </w:rPr>
              <w:t>step(s) 3</w:t>
            </w:r>
          </w:p>
        </w:tc>
      </w:tr>
      <w:tr>
        <w:tc>
          <w:tcPr>
            <w:tcW w:type="dxa" w:w="5320"/>
          </w:tcPr>
          <w:p>
            <w:r>
              <w:rPr>
                <w:b/>
                <w:sz w:val="18"/>
              </w:rPr>
              <w:t>Note</w:t>
            </w:r>
          </w:p>
        </w:tc>
        <w:tc>
          <w:tcPr>
            <w:tcW w:type="dxa" w:w="5320"/>
          </w:tcPr>
          <w:p>
            <w:r>
              <w:rPr>
                <w:b w:val="0"/>
                <w:sz w:val="18"/>
              </w:rPr>
              <w:t>The button is in the "Create &amp; standards" expander of SETUP &gt; SYMBOLS &amp; DEVICES.</w:t>
            </w:r>
          </w:p>
        </w:tc>
      </w:tr>
      <w:tr>
        <w:tc>
          <w:tcPr>
            <w:tcW w:type="dxa" w:w="5320"/>
          </w:tcPr>
          <w:p>
            <w:r>
              <w:rPr>
                <w:b/>
                <w:sz w:val="18"/>
              </w:rPr>
              <w:t>Result</w:t>
            </w:r>
          </w:p>
        </w:tc>
        <w:tc>
          <w:tcPr>
            <w:tcW w:type="dxa" w:w="5320"/>
          </w:tcPr>
          <w:p>
            <w:r>
              <w:rPr>
                <w:b w:val="0"/>
                <w:sz w:val="18"/>
              </w:rPr>
              <w:t>[  ] PASS      [  ] FAIL      [  ] NOT RUN</w:t>
            </w:r>
          </w:p>
        </w:tc>
      </w:tr>
    </w:tbl>
    <w:p/>
    <w:p>
      <w:pPr>
        <w:pStyle w:val="Heading1"/>
      </w:pPr>
      <w:r>
        <w:t>Orientation and standards</w:t>
      </w:r>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9. Orientation audit   [pre-cleared offline]</w:t>
            </w:r>
          </w:p>
        </w:tc>
      </w:tr>
      <w:tr>
        <w:tc>
          <w:tcPr>
            <w:tcW w:type="dxa" w:w="5320"/>
          </w:tcPr>
          <w:p>
            <w:r>
              <w:rPr>
                <w:b/>
                <w:sz w:val="18"/>
              </w:rPr>
              <w:t>Run it via</w:t>
            </w:r>
          </w:p>
        </w:tc>
        <w:tc>
          <w:tcPr>
            <w:tcW w:type="dxa" w:w="5320"/>
          </w:tcPr>
          <w:p>
            <w:r>
              <w:rPr>
                <w:b w:val="0"/>
                <w:sz w:val="18"/>
              </w:rPr>
              <w:t>Orient Audit (STING panel · SETUP · Create &amp; standards)</w:t>
            </w:r>
          </w:p>
        </w:tc>
      </w:tr>
      <w:tr>
        <w:tc>
          <w:tcPr>
            <w:tcW w:type="dxa" w:w="5320"/>
          </w:tcPr>
          <w:p>
            <w:r>
              <w:rPr>
                <w:b/>
                <w:sz w:val="18"/>
              </w:rPr>
              <w:t>Expected</w:t>
            </w:r>
          </w:p>
        </w:tc>
        <w:tc>
          <w:tcPr>
            <w:tcW w:type="dxa" w:w="5320"/>
          </w:tcPr>
          <w:p>
            <w:r>
              <w:rPr>
                <w:b w:val="0"/>
                <w:sz w:val="18"/>
              </w:rPr>
              <w:t>Dialog lists the concepts declaring orientation states and the variant families they reference but that are not loaded or in the content library. A non-zero missing count is expected: no vertical or end-on variant family has been authored yet</w:t>
            </w:r>
          </w:p>
        </w:tc>
      </w:tr>
      <w:tr>
        <w:tc>
          <w:tcPr>
            <w:tcW w:type="dxa" w:w="5320"/>
          </w:tcPr>
          <w:p>
            <w:r>
              <w:rPr>
                <w:b/>
                <w:sz w:val="18"/>
              </w:rPr>
              <w:t>Command tag</w:t>
            </w:r>
          </w:p>
        </w:tc>
        <w:tc>
          <w:tcPr>
            <w:tcW w:type="dxa" w:w="5320"/>
          </w:tcPr>
          <w:p>
            <w:r>
              <w:rPr>
                <w:b w:val="0"/>
                <w:sz w:val="18"/>
              </w:rPr>
              <w:t>Symbols_OrientationAudit</w:t>
            </w:r>
          </w:p>
        </w:tc>
      </w:tr>
      <w:tr>
        <w:tc>
          <w:tcPr>
            <w:tcW w:type="dxa" w:w="5320"/>
          </w:tcPr>
          <w:p>
            <w:r>
              <w:rPr>
                <w:b/>
                <w:sz w:val="18"/>
              </w:rPr>
              <w:t>Depends on</w:t>
            </w:r>
          </w:p>
        </w:tc>
        <w:tc>
          <w:tcPr>
            <w:tcW w:type="dxa" w:w="5320"/>
          </w:tcPr>
          <w:p>
            <w:r>
              <w:rPr>
                <w:b w:val="0"/>
                <w:sz w:val="18"/>
              </w:rPr>
              <w:t>step(s) 6</w:t>
            </w:r>
          </w:p>
        </w:tc>
      </w:tr>
      <w:tr>
        <w:tc>
          <w:tcPr>
            <w:tcW w:type="dxa" w:w="5320"/>
          </w:tcPr>
          <w:p>
            <w:r>
              <w:rPr>
                <w:b/>
                <w:sz w:val="18"/>
              </w:rPr>
              <w:t>Note</w:t>
            </w:r>
          </w:p>
        </w:tc>
        <w:tc>
          <w:tcPr>
            <w:tcW w:type="dxa" w:w="5320"/>
          </w:tcPr>
          <w:p>
            <w:r>
              <w:rPr>
                <w:b w:val="0"/>
                <w:sz w:val="18"/>
              </w:rPr>
              <w:t>The button is in the "Create &amp; standards" expander of SETUP &gt; SYMBOLS &amp; DEVICES, beside Std Audit.</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10. Place symbol overlays in a section through a vertical pipe or duct   [pre-cleared offline]</w:t>
            </w:r>
          </w:p>
        </w:tc>
      </w:tr>
      <w:tr>
        <w:tc>
          <w:tcPr>
            <w:tcW w:type="dxa" w:w="5320"/>
          </w:tcPr>
          <w:p>
            <w:r>
              <w:rPr>
                <w:b/>
                <w:sz w:val="18"/>
              </w:rPr>
              <w:t>Run it via</w:t>
            </w:r>
          </w:p>
        </w:tc>
        <w:tc>
          <w:tcPr>
            <w:tcW w:type="dxa" w:w="5320"/>
          </w:tcPr>
          <w:p>
            <w:r>
              <w:rPr>
                <w:b w:val="0"/>
                <w:sz w:val="18"/>
              </w:rPr>
              <w:t>Place View (STING panel · SETUP · Create &amp; standards)</w:t>
            </w:r>
          </w:p>
        </w:tc>
      </w:tr>
      <w:tr>
        <w:tc>
          <w:tcPr>
            <w:tcW w:type="dxa" w:w="5320"/>
          </w:tcPr>
          <w:p>
            <w:r>
              <w:rPr>
                <w:b/>
                <w:sz w:val="18"/>
              </w:rPr>
              <w:t>Expected</w:t>
            </w:r>
          </w:p>
        </w:tc>
        <w:tc>
          <w:tcPr>
            <w:tcW w:type="dxa" w:w="5320"/>
          </w:tcPr>
          <w:p>
            <w:r>
              <w:rPr>
                <w:b w:val="0"/>
                <w:sz w:val="18"/>
              </w:rPr>
              <w:t>Overlays are placed with the base family; the day's log has one "orientation variant unavailable" line per such host naming the base family used</w:t>
            </w:r>
          </w:p>
        </w:tc>
      </w:tr>
      <w:tr>
        <w:tc>
          <w:tcPr>
            <w:tcW w:type="dxa" w:w="5320"/>
          </w:tcPr>
          <w:p>
            <w:r>
              <w:rPr>
                <w:b/>
                <w:sz w:val="18"/>
              </w:rPr>
              <w:t>Command tag</w:t>
            </w:r>
          </w:p>
        </w:tc>
        <w:tc>
          <w:tcPr>
            <w:tcW w:type="dxa" w:w="5320"/>
          </w:tcPr>
          <w:p>
            <w:r>
              <w:rPr>
                <w:b w:val="0"/>
                <w:sz w:val="18"/>
              </w:rPr>
              <w:t>Symbols_PlaceView</w:t>
            </w:r>
          </w:p>
        </w:tc>
      </w:tr>
      <w:tr>
        <w:tc>
          <w:tcPr>
            <w:tcW w:type="dxa" w:w="5320"/>
          </w:tcPr>
          <w:p>
            <w:r>
              <w:rPr>
                <w:b/>
                <w:sz w:val="18"/>
              </w:rPr>
              <w:t>Depends on</w:t>
            </w:r>
          </w:p>
        </w:tc>
        <w:tc>
          <w:tcPr>
            <w:tcW w:type="dxa" w:w="5320"/>
          </w:tcPr>
          <w:p>
            <w:r>
              <w:rPr>
                <w:b w:val="0"/>
                <w:sz w:val="18"/>
              </w:rPr>
              <w:t>step(s) 9</w:t>
            </w:r>
          </w:p>
        </w:tc>
      </w:tr>
      <w:tr>
        <w:tc>
          <w:tcPr>
            <w:tcW w:type="dxa" w:w="5320"/>
          </w:tcPr>
          <w:p>
            <w:r>
              <w:rPr>
                <w:b/>
                <w:sz w:val="18"/>
              </w:rPr>
              <w:t>Note</w:t>
            </w:r>
          </w:p>
        </w:tc>
        <w:tc>
          <w:tcPr>
            <w:tcW w:type="dxa" w:w="5320"/>
          </w:tcPr>
          <w:p>
            <w:r>
              <w:rPr>
                <w:b w:val="0"/>
                <w:sz w:val="18"/>
              </w:rPr>
              <w:t>The button is in the "Create &amp; standards" expander of SETUP &gt; SYMBOLS &amp; DEVICES.</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11. Switch the project standard to one with no built families   [pre-cleared offline]</w:t>
            </w:r>
          </w:p>
        </w:tc>
      </w:tr>
      <w:tr>
        <w:tc>
          <w:tcPr>
            <w:tcW w:type="dxa" w:w="5320"/>
          </w:tcPr>
          <w:p>
            <w:r>
              <w:rPr>
                <w:b/>
                <w:sz w:val="18"/>
              </w:rPr>
              <w:t>Run it via</w:t>
            </w:r>
          </w:p>
        </w:tc>
        <w:tc>
          <w:tcPr>
            <w:tcW w:type="dxa" w:w="5320"/>
          </w:tcPr>
          <w:p>
            <w:r>
              <w:rPr>
                <w:b w:val="0"/>
                <w:sz w:val="18"/>
              </w:rPr>
              <w:t>Std Proj (STING panel · SETUP · Create &amp; standards)</w:t>
            </w:r>
          </w:p>
        </w:tc>
      </w:tr>
      <w:tr>
        <w:tc>
          <w:tcPr>
            <w:tcW w:type="dxa" w:w="5320"/>
          </w:tcPr>
          <w:p>
            <w:r>
              <w:rPr>
                <w:b/>
                <w:sz w:val="18"/>
              </w:rPr>
              <w:t>Expected</w:t>
            </w:r>
          </w:p>
        </w:tc>
        <w:tc>
          <w:tcPr>
            <w:tcW w:type="dxa" w:w="5320"/>
          </w:tcPr>
          <w:p>
            <w:r>
              <w:rPr>
                <w:b w:val="0"/>
                <w:sz w:val="18"/>
              </w:rPr>
              <w:t>Guard dialog "No '&lt;standard&gt;' symbol families are built" with "Build the symbol library now" and Cancel. Cancel leaves the project standard unchanged (re-run and check the picker's current value, or Std Audit)</w:t>
            </w:r>
          </w:p>
        </w:tc>
      </w:tr>
      <w:tr>
        <w:tc>
          <w:tcPr>
            <w:tcW w:type="dxa" w:w="5320"/>
          </w:tcPr>
          <w:p>
            <w:r>
              <w:rPr>
                <w:b/>
                <w:sz w:val="18"/>
              </w:rPr>
              <w:t>Command tag</w:t>
            </w:r>
          </w:p>
        </w:tc>
        <w:tc>
          <w:tcPr>
            <w:tcW w:type="dxa" w:w="5320"/>
          </w:tcPr>
          <w:p>
            <w:r>
              <w:rPr>
                <w:b w:val="0"/>
                <w:sz w:val="18"/>
              </w:rPr>
              <w:t>Symbols_SwitchProject</w:t>
            </w:r>
          </w:p>
        </w:tc>
      </w:tr>
      <w:tr>
        <w:tc>
          <w:tcPr>
            <w:tcW w:type="dxa" w:w="5320"/>
          </w:tcPr>
          <w:p>
            <w:r>
              <w:rPr>
                <w:b/>
                <w:sz w:val="18"/>
              </w:rPr>
              <w:t>Depends on</w:t>
            </w:r>
          </w:p>
        </w:tc>
        <w:tc>
          <w:tcPr>
            <w:tcW w:type="dxa" w:w="5320"/>
          </w:tcPr>
          <w:p>
            <w:r>
              <w:rPr>
                <w:b w:val="0"/>
                <w:sz w:val="18"/>
              </w:rPr>
              <w:t>step(s) 6</w:t>
            </w:r>
          </w:p>
        </w:tc>
      </w:tr>
      <w:tr>
        <w:tc>
          <w:tcPr>
            <w:tcW w:type="dxa" w:w="5320"/>
          </w:tcPr>
          <w:p>
            <w:r>
              <w:rPr>
                <w:b/>
                <w:sz w:val="18"/>
              </w:rPr>
              <w:t>Note</w:t>
            </w:r>
          </w:p>
        </w:tc>
        <w:tc>
          <w:tcPr>
            <w:tcW w:type="dxa" w:w="5320"/>
          </w:tcPr>
          <w:p>
            <w:r>
              <w:rPr>
                <w:b w:val="0"/>
                <w:sz w:val="18"/>
              </w:rPr>
              <w:t>Which standards are unbuilt depends on which catalogues step 6 produced; pick one Std Audit shows no families for. The button is in the "Create &amp; standards" expander of SETUP &gt; SYMBOLS &amp; DEVICES.</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12. Switch the project standard to a built one with placed symbols in the model   [pre-cleared offline]</w:t>
            </w:r>
          </w:p>
        </w:tc>
      </w:tr>
      <w:tr>
        <w:tc>
          <w:tcPr>
            <w:tcW w:type="dxa" w:w="5320"/>
          </w:tcPr>
          <w:p>
            <w:r>
              <w:rPr>
                <w:b/>
                <w:sz w:val="18"/>
              </w:rPr>
              <w:t>Run it via</w:t>
            </w:r>
          </w:p>
        </w:tc>
        <w:tc>
          <w:tcPr>
            <w:tcW w:type="dxa" w:w="5320"/>
          </w:tcPr>
          <w:p>
            <w:r>
              <w:rPr>
                <w:b w:val="0"/>
                <w:sz w:val="18"/>
              </w:rPr>
              <w:t>Std Proj (STING panel · SETUP · Create &amp; standards)</w:t>
            </w:r>
          </w:p>
        </w:tc>
      </w:tr>
      <w:tr>
        <w:tc>
          <w:tcPr>
            <w:tcW w:type="dxa" w:w="5320"/>
          </w:tcPr>
          <w:p>
            <w:r>
              <w:rPr>
                <w:b/>
                <w:sz w:val="18"/>
              </w:rPr>
              <w:t>Expected</w:t>
            </w:r>
          </w:p>
        </w:tc>
        <w:tc>
          <w:tcPr>
            <w:tcW w:type="dxa" w:w="5320"/>
          </w:tcPr>
          <w:p>
            <w:r>
              <w:rPr>
                <w:b w:val="0"/>
                <w:sz w:val="18"/>
              </w:rPr>
              <w:t>Report reads "Switched to &lt;standard&gt;. N tag(s) updated." plus a model-instance line: swapped and skipped counts, or a plain statement that every instance was skipped because its target families are not loaded. Placed symbol instances change family where a target exists; none changes category</w:t>
            </w:r>
          </w:p>
        </w:tc>
      </w:tr>
      <w:tr>
        <w:tc>
          <w:tcPr>
            <w:tcW w:type="dxa" w:w="5320"/>
          </w:tcPr>
          <w:p>
            <w:r>
              <w:rPr>
                <w:b/>
                <w:sz w:val="18"/>
              </w:rPr>
              <w:t>Command tag</w:t>
            </w:r>
          </w:p>
        </w:tc>
        <w:tc>
          <w:tcPr>
            <w:tcW w:type="dxa" w:w="5320"/>
          </w:tcPr>
          <w:p>
            <w:r>
              <w:rPr>
                <w:b w:val="0"/>
                <w:sz w:val="18"/>
              </w:rPr>
              <w:t>Symbols_SwitchProject</w:t>
            </w:r>
          </w:p>
        </w:tc>
      </w:tr>
      <w:tr>
        <w:tc>
          <w:tcPr>
            <w:tcW w:type="dxa" w:w="5320"/>
          </w:tcPr>
          <w:p>
            <w:r>
              <w:rPr>
                <w:b/>
                <w:sz w:val="18"/>
              </w:rPr>
              <w:t>Depends on</w:t>
            </w:r>
          </w:p>
        </w:tc>
        <w:tc>
          <w:tcPr>
            <w:tcW w:type="dxa" w:w="5320"/>
          </w:tcPr>
          <w:p>
            <w:r>
              <w:rPr>
                <w:b w:val="0"/>
                <w:sz w:val="18"/>
              </w:rPr>
              <w:t>step(s) 10</w:t>
            </w:r>
          </w:p>
        </w:tc>
      </w:tr>
      <w:tr>
        <w:tc>
          <w:tcPr>
            <w:tcW w:type="dxa" w:w="5320"/>
          </w:tcPr>
          <w:p>
            <w:r>
              <w:rPr>
                <w:b/>
                <w:sz w:val="18"/>
              </w:rPr>
              <w:t>Note</w:t>
            </w:r>
          </w:p>
        </w:tc>
        <w:tc>
          <w:tcPr>
            <w:tcW w:type="dxa" w:w="5320"/>
          </w:tcPr>
          <w:p>
            <w:r>
              <w:rPr>
                <w:b w:val="0"/>
                <w:sz w:val="18"/>
              </w:rPr>
              <w:t>The button is in the "Create &amp; standards" expander of SETUP &gt; SYMBOLS &amp; DEVICES.</w:t>
            </w:r>
          </w:p>
        </w:tc>
      </w:tr>
      <w:tr>
        <w:tc>
          <w:tcPr>
            <w:tcW w:type="dxa" w:w="5320"/>
          </w:tcPr>
          <w:p>
            <w:r>
              <w:rPr>
                <w:b/>
                <w:sz w:val="18"/>
              </w:rPr>
              <w:t>Result</w:t>
            </w:r>
          </w:p>
        </w:tc>
        <w:tc>
          <w:tcPr>
            <w:tcW w:type="dxa" w:w="5320"/>
          </w:tcPr>
          <w:p>
            <w:r>
              <w:rPr>
                <w:b w:val="0"/>
                <w:sz w:val="18"/>
              </w:rPr>
              <w:t>[  ] PASS      [  ] FAIL      [  ] NOT RUN</w:t>
            </w:r>
          </w:p>
        </w:tc>
      </w:tr>
    </w:tbl>
    <w:p/>
    <w:p>
      <w:pPr>
        <w:pStyle w:val="Heading1"/>
      </w:pPr>
      <w:r>
        <w:t>Single line diagram</w:t>
      </w:r>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13. Generate the SLD from the Electrical panel   [pre-cleared offline]</w:t>
            </w:r>
          </w:p>
        </w:tc>
      </w:tr>
      <w:tr>
        <w:tc>
          <w:tcPr>
            <w:tcW w:type="dxa" w:w="5320"/>
          </w:tcPr>
          <w:p>
            <w:r>
              <w:rPr>
                <w:b/>
                <w:sz w:val="18"/>
              </w:rPr>
              <w:t>Run it via</w:t>
            </w:r>
          </w:p>
        </w:tc>
        <w:tc>
          <w:tcPr>
            <w:tcW w:type="dxa" w:w="5320"/>
          </w:tcPr>
          <w:p>
            <w:r>
              <w:rPr>
                <w:b w:val="0"/>
                <w:sz w:val="18"/>
              </w:rPr>
              <w:t>⚡ Generate (ELECTRICAL panel · SLD · )</w:t>
            </w:r>
          </w:p>
        </w:tc>
      </w:tr>
      <w:tr>
        <w:tc>
          <w:tcPr>
            <w:tcW w:type="dxa" w:w="5320"/>
          </w:tcPr>
          <w:p>
            <w:r>
              <w:rPr>
                <w:b/>
                <w:sz w:val="18"/>
              </w:rPr>
              <w:t>Expected</w:t>
            </w:r>
          </w:p>
        </w:tc>
        <w:tc>
          <w:tcPr>
            <w:tcW w:type="dxa" w:w="5320"/>
          </w:tcPr>
          <w:p>
            <w:r>
              <w:rPr>
                <w:b w:val="0"/>
                <w:sz w:val="18"/>
              </w:rPr>
              <w:t>A drafting view with breaker, board and load symbols drawn, not blank boxes. The log shows "PlaceSymbols: auto-loaded" lines with paths under _BIM_COORD/Families/Symbols and no warning telling you to run Seeds_Build</w:t>
            </w:r>
          </w:p>
        </w:tc>
      </w:tr>
      <w:tr>
        <w:tc>
          <w:tcPr>
            <w:tcW w:type="dxa" w:w="5320"/>
          </w:tcPr>
          <w:p>
            <w:r>
              <w:rPr>
                <w:b/>
                <w:sz w:val="18"/>
              </w:rPr>
              <w:t>Command tag</w:t>
            </w:r>
          </w:p>
        </w:tc>
        <w:tc>
          <w:tcPr>
            <w:tcW w:type="dxa" w:w="5320"/>
          </w:tcPr>
          <w:p>
            <w:r>
              <w:rPr>
                <w:b w:val="0"/>
                <w:sz w:val="18"/>
              </w:rPr>
              <w:t>SLD_Generate</w:t>
            </w:r>
          </w:p>
        </w:tc>
      </w:tr>
      <w:tr>
        <w:tc>
          <w:tcPr>
            <w:tcW w:type="dxa" w:w="5320"/>
          </w:tcPr>
          <w:p>
            <w:r>
              <w:rPr>
                <w:b/>
                <w:sz w:val="18"/>
              </w:rPr>
              <w:t>Depends on</w:t>
            </w:r>
          </w:p>
        </w:tc>
        <w:tc>
          <w:tcPr>
            <w:tcW w:type="dxa" w:w="5320"/>
          </w:tcPr>
          <w:p>
            <w:r>
              <w:rPr>
                <w:b w:val="0"/>
                <w:sz w:val="18"/>
              </w:rPr>
              <w:t>step(s) 6</w:t>
            </w:r>
          </w:p>
        </w:tc>
      </w:tr>
      <w:tr>
        <w:tc>
          <w:tcPr>
            <w:tcW w:type="dxa" w:w="5320"/>
          </w:tcPr>
          <w:p>
            <w:r>
              <w:rPr>
                <w:b/>
                <w:sz w:val="18"/>
              </w:rPr>
              <w:t>Note</w:t>
            </w:r>
          </w:p>
        </w:tc>
        <w:tc>
          <w:tcPr>
            <w:tcW w:type="dxa" w:w="5320"/>
          </w:tcPr>
          <w:p>
            <w:r>
              <w:rPr>
                <w:b w:val="0"/>
                <w:sz w:val="18"/>
              </w:rPr>
              <w:t>The Generate button sits at the top of the SLD tab under the SINGLE LINE DIAGRAM / DISTRIBUTION HIERARCHY header, which the checker reads as no section, hence the empty section. Before the port the SLD looked only in &lt;model folder&gt;/_BIM_COORD/symbols, which nothing writes to.</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14. Run the Symbols and SLD workflow   [pre-cleared offline]</w:t>
            </w:r>
          </w:p>
        </w:tc>
      </w:tr>
      <w:tr>
        <w:tc>
          <w:tcPr>
            <w:tcW w:type="dxa" w:w="5320"/>
          </w:tcPr>
          <w:p>
            <w:r>
              <w:rPr>
                <w:b/>
                <w:sz w:val="18"/>
              </w:rPr>
              <w:t>Run it via</w:t>
            </w:r>
          </w:p>
        </w:tc>
        <w:tc>
          <w:tcPr>
            <w:tcW w:type="dxa" w:w="5320"/>
          </w:tcPr>
          <w:p>
            <w:r>
              <w:rPr>
                <w:b w:val="0"/>
                <w:sz w:val="18"/>
              </w:rPr>
              <w:t>run WORKFLOWSymbolsAndSLD.json (workflow only — no standalone button)</w:t>
            </w:r>
          </w:p>
        </w:tc>
      </w:tr>
      <w:tr>
        <w:tc>
          <w:tcPr>
            <w:tcW w:type="dxa" w:w="5320"/>
          </w:tcPr>
          <w:p>
            <w:r>
              <w:rPr>
                <w:b/>
                <w:sz w:val="18"/>
              </w:rPr>
              <w:t>Expected</w:t>
            </w:r>
          </w:p>
        </w:tc>
        <w:tc>
          <w:tcPr>
            <w:tcW w:type="dxa" w:w="5320"/>
          </w:tcPr>
          <w:p>
            <w:r>
              <w:rPr>
                <w:b w:val="0"/>
                <w:sz w:val="18"/>
              </w:rPr>
              <w:t>Four steps run in order: preflight, load parameters, build all catalogues, generate the SLD. With the template folder cleared (as in step 5) the run stops at the first step and rolls back</w:t>
            </w:r>
          </w:p>
        </w:tc>
      </w:tr>
      <w:tr>
        <w:tc>
          <w:tcPr>
            <w:tcW w:type="dxa" w:w="5320"/>
          </w:tcPr>
          <w:p>
            <w:r>
              <w:rPr>
                <w:b/>
                <w:sz w:val="18"/>
              </w:rPr>
              <w:t>Command tag</w:t>
            </w:r>
          </w:p>
        </w:tc>
        <w:tc>
          <w:tcPr>
            <w:tcW w:type="dxa" w:w="5320"/>
          </w:tcPr>
          <w:p>
            <w:r>
              <w:rPr>
                <w:b w:val="0"/>
                <w:sz w:val="18"/>
              </w:rPr>
              <w:t>WorkflowPreset</w:t>
            </w:r>
          </w:p>
        </w:tc>
      </w:tr>
      <w:tr>
        <w:tc>
          <w:tcPr>
            <w:tcW w:type="dxa" w:w="5320"/>
          </w:tcPr>
          <w:p>
            <w:r>
              <w:rPr>
                <w:b/>
                <w:sz w:val="18"/>
              </w:rPr>
              <w:t>Depends on</w:t>
            </w:r>
          </w:p>
        </w:tc>
        <w:tc>
          <w:tcPr>
            <w:tcW w:type="dxa" w:w="5320"/>
          </w:tcPr>
          <w:p>
            <w:r>
              <w:rPr>
                <w:b w:val="0"/>
                <w:sz w:val="18"/>
              </w:rPr>
              <w:t>step(s) 5</w:t>
            </w:r>
          </w:p>
        </w:tc>
      </w:tr>
      <w:tr>
        <w:tc>
          <w:tcPr>
            <w:tcW w:type="dxa" w:w="5320"/>
          </w:tcPr>
          <w:p>
            <w:r>
              <w:rPr>
                <w:b/>
                <w:sz w:val="18"/>
              </w:rPr>
              <w:t>Note</w:t>
            </w:r>
          </w:p>
        </w:tc>
        <w:tc>
          <w:tcPr>
            <w:tcW w:type="dxa" w:w="5320"/>
          </w:tcPr>
          <w:p>
            <w:r>
              <w:rPr>
                <w:b w:val="0"/>
                <w:sz w:val="18"/>
              </w:rPr>
              <w:t>Launch from the preset runner ("Run preset") and pick "Symbols and SLD".</w:t>
            </w:r>
          </w:p>
        </w:tc>
      </w:tr>
      <w:tr>
        <w:tc>
          <w:tcPr>
            <w:tcW w:type="dxa" w:w="5320"/>
          </w:tcPr>
          <w:p>
            <w:r>
              <w:rPr>
                <w:b/>
                <w:sz w:val="18"/>
              </w:rPr>
              <w:t>Result</w:t>
            </w:r>
          </w:p>
        </w:tc>
        <w:tc>
          <w:tcPr>
            <w:tcW w:type="dxa" w:w="5320"/>
          </w:tcPr>
          <w:p>
            <w:r>
              <w:rPr>
                <w:b w:val="0"/>
                <w:sz w:val="18"/>
              </w:rPr>
              <w:t>[  ] PASS      [  ] FAIL      [  ] NOT RUN</w:t>
            </w:r>
          </w:p>
        </w:tc>
      </w:tr>
    </w:tbl>
    <w:p/>
    <w:p>
      <w:pPr>
        <w:pStyle w:val="Heading1"/>
      </w:pPr>
      <w:r>
        <w:t>DWG to model</w:t>
      </w:r>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15. Convert DWG MEP content through the MEP CAD path   [pre-cleared offline]</w:t>
            </w:r>
          </w:p>
        </w:tc>
      </w:tr>
      <w:tr>
        <w:tc>
          <w:tcPr>
            <w:tcW w:type="dxa" w:w="5320"/>
          </w:tcPr>
          <w:p>
            <w:r>
              <w:rPr>
                <w:b/>
                <w:sz w:val="18"/>
              </w:rPr>
              <w:t>Run it via</w:t>
            </w:r>
          </w:p>
        </w:tc>
        <w:tc>
          <w:tcPr>
            <w:tcW w:type="dxa" w:w="5320"/>
          </w:tcPr>
          <w:p>
            <w:r>
              <w:rPr>
                <w:b w:val="0"/>
                <w:sz w:val="18"/>
              </w:rPr>
              <w:t>Convert (STING panel · MODEL · DWG → MEP (fixtures))</w:t>
            </w:r>
          </w:p>
        </w:tc>
      </w:tr>
      <w:tr>
        <w:tc>
          <w:tcPr>
            <w:tcW w:type="dxa" w:w="5320"/>
          </w:tcPr>
          <w:p>
            <w:r>
              <w:rPr>
                <w:b/>
                <w:sz w:val="18"/>
              </w:rPr>
              <w:t>Expected</w:t>
            </w:r>
          </w:p>
        </w:tc>
        <w:tc>
          <w:tcPr>
            <w:tcW w:type="dxa" w:w="5320"/>
          </w:tcPr>
          <w:p>
            <w:r>
              <w:rPr>
                <w:b w:val="0"/>
                <w:sz w:val="18"/>
              </w:rPr>
              <w:t>MEP fixtures and straight runs are placed from the DWG and auto-tagged. This is the only DWG-to-MEP path; DWG → Model does not place MEP</w:t>
            </w:r>
          </w:p>
        </w:tc>
      </w:tr>
      <w:tr>
        <w:tc>
          <w:tcPr>
            <w:tcW w:type="dxa" w:w="5320"/>
          </w:tcPr>
          <w:p>
            <w:r>
              <w:rPr>
                <w:b/>
                <w:sz w:val="18"/>
              </w:rPr>
              <w:t>Command tag</w:t>
            </w:r>
          </w:p>
        </w:tc>
        <w:tc>
          <w:tcPr>
            <w:tcW w:type="dxa" w:w="5320"/>
          </w:tcPr>
          <w:p>
            <w:r>
              <w:rPr>
                <w:b w:val="0"/>
                <w:sz w:val="18"/>
              </w:rPr>
              <w:t>Mep_CadToModel</w:t>
            </w:r>
          </w:p>
        </w:tc>
      </w:tr>
      <w:tr>
        <w:tc>
          <w:tcPr>
            <w:tcW w:type="dxa" w:w="5320"/>
          </w:tcPr>
          <w:p>
            <w:r>
              <w:rPr>
                <w:b/>
                <w:sz w:val="18"/>
              </w:rPr>
              <w:t>Depends on</w:t>
            </w:r>
          </w:p>
        </w:tc>
        <w:tc>
          <w:tcPr>
            <w:tcW w:type="dxa" w:w="5320"/>
          </w:tcPr>
          <w:p>
            <w:r>
              <w:rPr>
                <w:b w:val="0"/>
                <w:sz w:val="18"/>
              </w:rPr>
              <w:t>step(s) 2</w:t>
            </w:r>
          </w:p>
        </w:tc>
      </w:tr>
      <w:tr>
        <w:tc>
          <w:tcPr>
            <w:tcW w:type="dxa" w:w="5320"/>
          </w:tcPr>
          <w:p>
            <w:r>
              <w:rPr>
                <w:b/>
                <w:sz w:val="18"/>
              </w:rPr>
              <w:t>Note</w:t>
            </w:r>
          </w:p>
        </w:tc>
        <w:tc>
          <w:tcPr>
            <w:tcW w:type="dxa" w:w="5320"/>
          </w:tcPr>
          <w:p>
            <w:r>
              <w:rPr>
                <w:b w:val="0"/>
                <w:sz w:val="18"/>
              </w:rPr>
              <w:t>PR #951 also added MEP placement inside DWG → Model (P1-3). That was deliberately not ported because this command already exists.</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16. Convert DWG walls and check the wall types chosen   [pre-cleared offline]</w:t>
            </w:r>
          </w:p>
        </w:tc>
      </w:tr>
      <w:tr>
        <w:tc>
          <w:tcPr>
            <w:tcW w:type="dxa" w:w="5320"/>
          </w:tcPr>
          <w:p>
            <w:r>
              <w:rPr>
                <w:b/>
                <w:sz w:val="18"/>
              </w:rPr>
              <w:t>Run it via</w:t>
            </w:r>
          </w:p>
        </w:tc>
        <w:tc>
          <w:tcPr>
            <w:tcW w:type="dxa" w:w="5320"/>
          </w:tcPr>
          <w:p>
            <w:r>
              <w:rPr>
                <w:b w:val="0"/>
                <w:sz w:val="18"/>
              </w:rPr>
              <w:t>DWG → Model (STING panel · MODEL · DWG TO MODEL)</w:t>
            </w:r>
          </w:p>
        </w:tc>
      </w:tr>
      <w:tr>
        <w:tc>
          <w:tcPr>
            <w:tcW w:type="dxa" w:w="5320"/>
          </w:tcPr>
          <w:p>
            <w:r>
              <w:rPr>
                <w:b/>
                <w:sz w:val="18"/>
              </w:rPr>
              <w:t>Expected</w:t>
            </w:r>
          </w:p>
        </w:tc>
        <w:tc>
          <w:tcPr>
            <w:tcW w:type="dxa" w:w="5320"/>
          </w:tcPr>
          <w:p>
            <w:r>
              <w:rPr>
                <w:b w:val="0"/>
                <w:sz w:val="18"/>
              </w:rPr>
              <w:t>Walls on a layer whose name matches a wall type (for example a layer named like an existing type) take that type; walls on other layers take the type closest in thickness, as before</w:t>
            </w:r>
          </w:p>
        </w:tc>
      </w:tr>
      <w:tr>
        <w:tc>
          <w:tcPr>
            <w:tcW w:type="dxa" w:w="5320"/>
          </w:tcPr>
          <w:p>
            <w:r>
              <w:rPr>
                <w:b/>
                <w:sz w:val="18"/>
              </w:rPr>
              <w:t>Command tag</w:t>
            </w:r>
          </w:p>
        </w:tc>
        <w:tc>
          <w:tcPr>
            <w:tcW w:type="dxa" w:w="5320"/>
          </w:tcPr>
          <w:p>
            <w:r>
              <w:rPr>
                <w:b w:val="0"/>
                <w:sz w:val="18"/>
              </w:rPr>
              <w:t>ModelDWGToModel</w:t>
            </w:r>
          </w:p>
        </w:tc>
      </w:tr>
      <w:tr>
        <w:tc>
          <w:tcPr>
            <w:tcW w:type="dxa" w:w="5320"/>
          </w:tcPr>
          <w:p>
            <w:r>
              <w:rPr>
                <w:b/>
                <w:sz w:val="18"/>
              </w:rPr>
              <w:t>Depends on</w:t>
            </w:r>
          </w:p>
        </w:tc>
        <w:tc>
          <w:tcPr>
            <w:tcW w:type="dxa" w:w="5320"/>
          </w:tcPr>
          <w:p>
            <w:r>
              <w:rPr>
                <w:b w:val="0"/>
                <w:sz w:val="18"/>
              </w:rPr>
              <w:t>step(s) 2</w:t>
            </w:r>
          </w:p>
        </w:tc>
      </w:tr>
      <w:tr>
        <w:tc>
          <w:tcPr>
            <w:tcW w:type="dxa" w:w="5320"/>
          </w:tcPr>
          <w:p>
            <w:r>
              <w:rPr>
                <w:b/>
                <w:sz w:val="18"/>
              </w:rPr>
              <w:t>Note</w:t>
            </w:r>
          </w:p>
        </w:tc>
        <w:tc>
          <w:tcPr>
            <w:tcW w:type="dxa" w:w="5320"/>
          </w:tcPr>
          <w:p>
            <w:r>
              <w:rPr>
                <w:b w:val="0"/>
                <w:sz w:val="18"/>
              </w:rPr>
              <w:t>Matching: exact type name, then a type whose name contains every token of the layer name split on space, hyphen and underscore.</w:t>
            </w:r>
          </w:p>
        </w:tc>
      </w:tr>
      <w:tr>
        <w:tc>
          <w:tcPr>
            <w:tcW w:type="dxa" w:w="5320"/>
          </w:tcPr>
          <w:p>
            <w:r>
              <w:rPr>
                <w:b/>
                <w:sz w:val="18"/>
              </w:rPr>
              <w:t>Result</w:t>
            </w:r>
          </w:p>
        </w:tc>
        <w:tc>
          <w:tcPr>
            <w:tcW w:type="dxa" w:w="5320"/>
          </w:tcPr>
          <w:p>
            <w:r>
              <w:rPr>
                <w:b w:val="0"/>
                <w:sz w:val="18"/>
              </w:rPr>
              <w:t>[  ] PASS      [  ] FAIL      [  ] NOT RUN</w:t>
            </w:r>
          </w:p>
        </w:tc>
      </w:tr>
    </w:tbl>
    <w:p/>
    <w:p>
      <w:pPr>
        <w:pStyle w:val="Heading1"/>
      </w:pPr>
      <w:r>
        <w:t>Failure log</w:t>
      </w:r>
    </w:p>
    <w:p>
      <w:r>
        <w:t>One row per failure. Attach the StingTools.log excerpt.</w:t>
      </w:r>
    </w:p>
    <w:tbl>
      <w:tblPr>
        <w:tblStyle w:val="TableGrid"/>
        <w:tblW w:type="auto" w:w="0"/>
        <w:tblLook w:firstColumn="1" w:firstRow="1" w:lastColumn="0" w:lastRow="0" w:noHBand="0" w:noVBand="1" w:val="04A0"/>
      </w:tblPr>
      <w:tblGrid>
        <w:gridCol w:w="2660"/>
        <w:gridCol w:w="2660"/>
        <w:gridCol w:w="2660"/>
        <w:gridCol w:w="2660"/>
      </w:tblGrid>
      <w:tr>
        <w:tc>
          <w:tcPr>
            <w:tcW w:type="dxa" w:w="2660"/>
          </w:tcPr>
          <w:p>
            <w:r>
              <w:rPr>
                <w:b/>
              </w:rPr>
              <w:t>Step</w:t>
            </w:r>
          </w:p>
        </w:tc>
        <w:tc>
          <w:tcPr>
            <w:tcW w:type="dxa" w:w="2660"/>
          </w:tcPr>
          <w:p>
            <w:r>
              <w:rPr>
                <w:b/>
              </w:rPr>
              <w:t>Command</w:t>
            </w:r>
          </w:p>
        </w:tc>
        <w:tc>
          <w:tcPr>
            <w:tcW w:type="dxa" w:w="2660"/>
          </w:tcPr>
          <w:p>
            <w:r>
              <w:rPr>
                <w:b/>
              </w:rPr>
              <w:t>What happened</w:t>
            </w:r>
          </w:p>
        </w:tc>
        <w:tc>
          <w:tcPr>
            <w:tcW w:type="dxa" w:w="2660"/>
          </w:tcPr>
          <w:p>
            <w:r>
              <w:rPr>
                <w:b/>
              </w:rPr>
              <w:t>StingTools.log excerpt / model context</w:t>
            </w:r>
          </w:p>
        </w:tc>
      </w:tr>
      <w:tr>
        <w:tc>
          <w:tcPr>
            <w:tcW w:type="dxa" w:w="2660"/>
          </w:tcPr>
          <w:p/>
        </w:tc>
        <w:tc>
          <w:tcPr>
            <w:tcW w:type="dxa" w:w="2660"/>
          </w:tcPr>
          <w:p/>
        </w:tc>
        <w:tc>
          <w:tcPr>
            <w:tcW w:type="dxa" w:w="2660"/>
          </w:tcPr>
          <w:p/>
        </w:tc>
        <w:tc>
          <w:tcPr>
            <w:tcW w:type="dxa" w:w="2660"/>
          </w:tcPr>
          <w:p/>
        </w:tc>
      </w:tr>
      <w:tr>
        <w:tc>
          <w:tcPr>
            <w:tcW w:type="dxa" w:w="2660"/>
          </w:tcPr>
          <w:p/>
        </w:tc>
        <w:tc>
          <w:tcPr>
            <w:tcW w:type="dxa" w:w="2660"/>
          </w:tcPr>
          <w:p/>
        </w:tc>
        <w:tc>
          <w:tcPr>
            <w:tcW w:type="dxa" w:w="2660"/>
          </w:tcPr>
          <w:p/>
        </w:tc>
        <w:tc>
          <w:tcPr>
            <w:tcW w:type="dxa" w:w="2660"/>
          </w:tcPr>
          <w:p/>
        </w:tc>
      </w:tr>
      <w:tr>
        <w:tc>
          <w:tcPr>
            <w:tcW w:type="dxa" w:w="2660"/>
          </w:tcPr>
          <w:p/>
        </w:tc>
        <w:tc>
          <w:tcPr>
            <w:tcW w:type="dxa" w:w="2660"/>
          </w:tcPr>
          <w:p/>
        </w:tc>
        <w:tc>
          <w:tcPr>
            <w:tcW w:type="dxa" w:w="2660"/>
          </w:tcPr>
          <w:p/>
        </w:tc>
        <w:tc>
          <w:tcPr>
            <w:tcW w:type="dxa" w:w="2660"/>
          </w:tcPr>
          <w:p/>
        </w:tc>
      </w:tr>
      <w:tr>
        <w:tc>
          <w:tcPr>
            <w:tcW w:type="dxa" w:w="2660"/>
          </w:tcPr>
          <w:p/>
        </w:tc>
        <w:tc>
          <w:tcPr>
            <w:tcW w:type="dxa" w:w="2660"/>
          </w:tcPr>
          <w:p/>
        </w:tc>
        <w:tc>
          <w:tcPr>
            <w:tcW w:type="dxa" w:w="2660"/>
          </w:tcPr>
          <w:p/>
        </w:tc>
        <w:tc>
          <w:tcPr>
            <w:tcW w:type="dxa" w:w="2660"/>
          </w:tcPr>
          <w:p/>
        </w:tc>
      </w:tr>
      <w:tr>
        <w:tc>
          <w:tcPr>
            <w:tcW w:type="dxa" w:w="2660"/>
          </w:tcPr>
          <w:p/>
        </w:tc>
        <w:tc>
          <w:tcPr>
            <w:tcW w:type="dxa" w:w="2660"/>
          </w:tcPr>
          <w:p/>
        </w:tc>
        <w:tc>
          <w:tcPr>
            <w:tcW w:type="dxa" w:w="2660"/>
          </w:tcPr>
          <w:p/>
        </w:tc>
        <w:tc>
          <w:tcPr>
            <w:tcW w:type="dxa" w:w="2660"/>
          </w:tcPr>
          <w:p/>
        </w:tc>
      </w:tr>
      <w:tr>
        <w:tc>
          <w:tcPr>
            <w:tcW w:type="dxa" w:w="2660"/>
          </w:tcPr>
          <w:p/>
        </w:tc>
        <w:tc>
          <w:tcPr>
            <w:tcW w:type="dxa" w:w="2660"/>
          </w:tcPr>
          <w:p/>
        </w:tc>
        <w:tc>
          <w:tcPr>
            <w:tcW w:type="dxa" w:w="2660"/>
          </w:tcPr>
          <w:p/>
        </w:tc>
        <w:tc>
          <w:tcPr>
            <w:tcW w:type="dxa" w:w="2660"/>
          </w:tcPr>
          <w:p/>
        </w:tc>
      </w:tr>
      <w:tr>
        <w:tc>
          <w:tcPr>
            <w:tcW w:type="dxa" w:w="2660"/>
          </w:tcPr>
          <w:p/>
        </w:tc>
        <w:tc>
          <w:tcPr>
            <w:tcW w:type="dxa" w:w="2660"/>
          </w:tcPr>
          <w:p/>
        </w:tc>
        <w:tc>
          <w:tcPr>
            <w:tcW w:type="dxa" w:w="2660"/>
          </w:tcPr>
          <w:p/>
        </w:tc>
        <w:tc>
          <w:tcPr>
            <w:tcW w:type="dxa" w:w="2660"/>
          </w:tcPr>
          <w:p/>
        </w:tc>
      </w:tr>
      <w:tr>
        <w:tc>
          <w:tcPr>
            <w:tcW w:type="dxa" w:w="2660"/>
          </w:tcPr>
          <w:p/>
        </w:tc>
        <w:tc>
          <w:tcPr>
            <w:tcW w:type="dxa" w:w="2660"/>
          </w:tcPr>
          <w:p/>
        </w:tc>
        <w:tc>
          <w:tcPr>
            <w:tcW w:type="dxa" w:w="2660"/>
          </w:tcPr>
          <w:p/>
        </w:tc>
        <w:tc>
          <w:tcPr>
            <w:tcW w:type="dxa" w:w="2660"/>
          </w:tcPr>
          <w:p/>
        </w:tc>
      </w:tr>
    </w:tbl>
    <w:p>
      <w:pPr>
        <w:pStyle w:val="Heading1"/>
      </w:pPr>
      <w:r>
        <w:t>Sign-off</w:t>
      </w:r>
    </w:p>
    <w:tbl>
      <w:tblPr>
        <w:tblStyle w:val="TableGrid"/>
        <w:tblW w:type="auto" w:w="0"/>
        <w:tblLook w:firstColumn="1" w:firstRow="1" w:lastColumn="0" w:lastRow="0" w:noHBand="0" w:noVBand="1" w:val="04A0"/>
      </w:tblPr>
      <w:tblGrid>
        <w:gridCol w:w="2660"/>
        <w:gridCol w:w="2660"/>
        <w:gridCol w:w="2660"/>
        <w:gridCol w:w="2660"/>
      </w:tblGrid>
      <w:tr>
        <w:tc>
          <w:tcPr>
            <w:tcW w:type="dxa" w:w="2660"/>
          </w:tcPr>
          <w:p>
            <w:r>
              <w:rPr>
                <w:b/>
              </w:rPr>
              <w:t>Role</w:t>
            </w:r>
          </w:p>
        </w:tc>
        <w:tc>
          <w:tcPr>
            <w:tcW w:type="dxa" w:w="2660"/>
          </w:tcPr>
          <w:p>
            <w:r>
              <w:rPr>
                <w:b/>
              </w:rPr>
              <w:t>Name</w:t>
            </w:r>
          </w:p>
        </w:tc>
        <w:tc>
          <w:tcPr>
            <w:tcW w:type="dxa" w:w="2660"/>
          </w:tcPr>
          <w:p>
            <w:r>
              <w:rPr>
                <w:b/>
              </w:rPr>
              <w:t>Signature</w:t>
            </w:r>
          </w:p>
        </w:tc>
        <w:tc>
          <w:tcPr>
            <w:tcW w:type="dxa" w:w="2660"/>
          </w:tcPr>
          <w:p>
            <w:r>
              <w:rPr>
                <w:b/>
              </w:rPr>
              <w:t>Date</w:t>
            </w:r>
          </w:p>
        </w:tc>
      </w:tr>
      <w:tr>
        <w:tc>
          <w:tcPr>
            <w:tcW w:type="dxa" w:w="2660"/>
          </w:tcPr>
          <w:p>
            <w:r>
              <w:t>Tester</w:t>
            </w:r>
          </w:p>
        </w:tc>
        <w:tc>
          <w:tcPr>
            <w:tcW w:type="dxa" w:w="2660"/>
          </w:tcPr>
          <w:p/>
        </w:tc>
        <w:tc>
          <w:tcPr>
            <w:tcW w:type="dxa" w:w="2660"/>
          </w:tcPr>
          <w:p/>
        </w:tc>
        <w:tc>
          <w:tcPr>
            <w:tcW w:type="dxa" w:w="2660"/>
          </w:tcPr>
          <w:p/>
        </w:tc>
      </w:tr>
      <w:tr>
        <w:tc>
          <w:tcPr>
            <w:tcW w:type="dxa" w:w="2660"/>
          </w:tcPr>
          <w:p>
            <w:r>
              <w:t>BIM Manager</w:t>
            </w:r>
          </w:p>
        </w:tc>
        <w:tc>
          <w:tcPr>
            <w:tcW w:type="dxa" w:w="2660"/>
          </w:tcPr>
          <w:p/>
        </w:tc>
        <w:tc>
          <w:tcPr>
            <w:tcW w:type="dxa" w:w="2660"/>
          </w:tcPr>
          <w:p/>
        </w:tc>
        <w:tc>
          <w:tcPr>
            <w:tcW w:type="dxa" w:w="2660"/>
          </w:tcPr>
          <w:p/>
        </w:tc>
      </w:tr>
      <w:tr>
        <w:tc>
          <w:tcPr>
            <w:tcW w:type="dxa" w:w="2660"/>
          </w:tcPr>
          <w:p>
            <w:r>
              <w:t>Information Manager</w:t>
            </w:r>
          </w:p>
        </w:tc>
        <w:tc>
          <w:tcPr>
            <w:tcW w:type="dxa" w:w="2660"/>
          </w:tcPr>
          <w:p/>
        </w:tc>
        <w:tc>
          <w:tcPr>
            <w:tcW w:type="dxa" w:w="2660"/>
          </w:tcPr>
          <w:p/>
        </w:tc>
        <w:tc>
          <w:tcPr>
            <w:tcW w:type="dxa" w:w="2660"/>
          </w:tcPr>
          <w:p/>
        </w:tc>
      </w:tr>
    </w:tbl>
    <w:p>
      <w:pPr>
        <w:pStyle w:val="Heading1"/>
      </w:pPr>
      <w:r>
        <w:t>Notes</w:t>
      </w:r>
    </w:p>
    <w:p>
      <w:r>
        <w:t>Log any failure with the command, the excerpt from the day's `StingTools_yyyyMMdd.log` (next to the DLL the live `.addin` points at), and the model context.</w:t>
      </w:r>
    </w:p>
    <w:p>
      <w:r>
        <w:t>**This file is generated.** Edit `docs/examples/SYMBOL_SLD/smoke_test.json` and run `python tools/build_smoke_test.py`; `tools/check_smoke_test.py` fails CI if the two disagree. See [`docs/examples/_smoke_test_schema.md`](../_smoke_test_schema.md).</w:t>
      </w:r>
    </w:p>
    <w:sectPr w:rsidR="00FC693F" w:rsidRPr="0006063C" w:rsidSect="00034616">
      <w:pgSz w:w="12240" w:h="15840"/>
      <w:pgMar w:top="1440" w:right="800" w:bottom="144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Symbol library and SLD — Revit smoke-test checklist</dc:title>
  <dc:subject/>
  <dc:creator>python-docx</dc:creator>
  <cp:keywords/>
  <dc:description>Generated by tools/build_smoke_test.py from docs/examples/SYMBOL_SLD/smoke_test.json — do not edit this document. parts-sha256:b6b8adb45325eba93142312abdb3ddb19d765fe7da5df2db91167f43b110a2e0 inputs-sha256:0559139756185cd8150a94e2c61f99a56f311e0cfae6e6deca91cac19852f0e6</dc:description>
  <cp:lastModifiedBy/>
  <cp:revision>1</cp:revision>
  <dcterms:created xsi:type="dcterms:W3CDTF">2020-01-01T00:00:00Z</dcterms:created>
  <dcterms:modified xsi:type="dcterms:W3CDTF">2020-01-01T00:00:00Z</dcterms:modified>
  <cp:category/>
</cp:coreProperties>
</file>