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BIM Execution Plan</w:t>
      </w:r>
    </w:p>
    <w:p>
      <w:pPr>
        <w:spacing w:before="200"/>
      </w:pPr>
      <w:r>
        <w:rPr>
          <w:color w:val="444F5C"/>
          <w:sz w:val="24"/>
        </w:rPr>
        <w:t>Prepared in response to the Appointing Party exchange information requirements, in accordance with BS EN ISO 19650-2</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KUT-PLN-ZZ-ZZ-RP-Z-0001</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[FILL — S3 for review, or A1 on acceptance]</w:t>
            </w:r>
          </w:p>
        </w:tc>
      </w:tr>
      <w:tr>
        <w:tc>
          <w:tcPr>
            <w:tcW w:type="dxa" w:w="2835"/>
          </w:tcPr>
          <w:p>
            <w:r>
              <w:rPr>
                <w:b/>
                <w:color w:val="444F5C"/>
                <w:sz w:val="18"/>
              </w:rPr>
              <w:t>BEP type</w:t>
            </w:r>
          </w:p>
        </w:tc>
        <w:tc>
          <w:tcPr>
            <w:tcW w:type="dxa" w:w="6576"/>
          </w:tcPr>
          <w:p>
            <w:r>
              <w:rPr>
                <w:sz w:val="18"/>
              </w:rPr>
              <w:t>[FILL — pre-appointment / post-appointment]</w:t>
            </w:r>
          </w:p>
        </w:tc>
      </w:tr>
      <w:tr>
        <w:tc>
          <w:tcPr>
            <w:tcW w:type="dxa" w:w="2835"/>
          </w:tcPr>
          <w:p>
            <w:r>
              <w:rPr>
                <w:b/>
                <w:color w:val="444F5C"/>
                <w:sz w:val="18"/>
              </w:rPr>
              <w:t>Owned by</w:t>
            </w:r>
          </w:p>
        </w:tc>
        <w:tc>
          <w:tcPr>
            <w:tcW w:type="dxa" w:w="6576"/>
          </w:tcPr>
          <w:p>
            <w:r>
              <w:rPr>
                <w:sz w:val="18"/>
              </w:rPr>
              <w:t>Symbion Consulting Group Studios (Lead Appointed Party)</w:t>
            </w:r>
          </w:p>
        </w:tc>
      </w:tr>
      <w:tr>
        <w:tc>
          <w:tcPr>
            <w:tcW w:type="dxa" w:w="2835"/>
          </w:tcPr>
          <w:p>
            <w:r>
              <w:rPr>
                <w:b/>
                <w:color w:val="444F5C"/>
                <w:sz w:val="18"/>
              </w:rPr>
              <w:t>Prepared and maintained by</w:t>
            </w:r>
          </w:p>
        </w:tc>
        <w:tc>
          <w:tcPr>
            <w:tcW w:type="dxa" w:w="6576"/>
          </w:tcPr>
          <w:p>
            <w:r>
              <w:rPr>
                <w:sz w:val="18"/>
              </w:rPr>
              <w:t>Planscape Consulting Engineers Ltd (Information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Issued through the Common Data Environment. Uncontrolled when printed.</w:t>
      </w:r>
    </w:p>
    <w:p>
      <w:r>
        <w:br w:type="page"/>
      </w:r>
    </w:p>
    <w:p>
      <w:pPr>
        <w:pStyle w:val="Heading1"/>
        <w:pBdr>
          <w:bottom w:val="single" w:sz="8" w:space="4" w:color="1F3654"/>
        </w:pBdr>
      </w:pPr>
      <w:r>
        <w:t>Document control</w:t>
      </w:r>
    </w:p>
    <w:p>
      <w:pPr>
        <w:pStyle w:val="Heading2"/>
      </w:pPr>
      <w:r>
        <w:t>Approval</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608"/>
            <w:shd w:val="clear" w:fill="E8EDF3"/>
          </w:tcPr>
          <w:p>
            <w:r/>
            <w:r>
              <w:rPr>
                <w:b/>
                <w:color w:val="1F3654"/>
                <w:sz w:val="17"/>
              </w:rPr>
              <w:t>Role</w:t>
            </w:r>
          </w:p>
        </w:tc>
        <w:tc>
          <w:tcPr>
            <w:tcW w:type="dxa" w:w="1814"/>
            <w:shd w:val="clear" w:fill="E8EDF3"/>
          </w:tcPr>
          <w:p>
            <w:r/>
            <w:r>
              <w:rPr>
                <w:b/>
                <w:color w:val="1F3654"/>
                <w:sz w:val="17"/>
              </w:rPr>
              <w:t>Organisation</w:t>
            </w:r>
          </w:p>
        </w:tc>
        <w:tc>
          <w:tcPr>
            <w:tcW w:type="dxa" w:w="1814"/>
            <w:shd w:val="clear" w:fill="E8EDF3"/>
          </w:tcPr>
          <w:p>
            <w:r/>
            <w:r>
              <w:rPr>
                <w:b/>
                <w:color w:val="1F3654"/>
                <w:sz w:val="17"/>
              </w:rPr>
              <w:t>Name</w:t>
            </w:r>
          </w:p>
        </w:tc>
        <w:tc>
          <w:tcPr>
            <w:tcW w:type="dxa" w:w="1701"/>
            <w:shd w:val="clear" w:fill="E8EDF3"/>
          </w:tcPr>
          <w:p>
            <w:r/>
            <w:r>
              <w:rPr>
                <w:b/>
                <w:color w:val="1F3654"/>
                <w:sz w:val="17"/>
              </w:rPr>
              <w:t>Signature</w:t>
            </w:r>
          </w:p>
        </w:tc>
        <w:tc>
          <w:tcPr>
            <w:tcW w:type="dxa" w:w="1474"/>
            <w:shd w:val="clear" w:fill="E8EDF3"/>
          </w:tcPr>
          <w:p>
            <w:r/>
            <w:r>
              <w:rPr>
                <w:b/>
                <w:color w:val="1F3654"/>
                <w:sz w:val="17"/>
              </w:rPr>
              <w:t>Date</w:t>
            </w:r>
          </w:p>
        </w:tc>
      </w:tr>
      <w:tr>
        <w:tc>
          <w:tcPr>
            <w:tcW w:type="dxa" w:w="2608"/>
          </w:tcPr>
          <w:p>
            <w:pPr>
              <w:spacing w:after="40"/>
            </w:pPr>
            <w:r>
              <w:rPr>
                <w:sz w:val="17"/>
              </w:rPr>
            </w:r>
            <w:r>
              <w:rPr>
                <w:b w:val="0"/>
                <w:sz w:val="17"/>
              </w:rPr>
              <w:t>Prepared by</w:t>
            </w:r>
          </w:p>
        </w:tc>
        <w:tc>
          <w:tcPr>
            <w:tcW w:type="dxa" w:w="1814"/>
          </w:tcPr>
          <w:p>
            <w:pPr>
              <w:spacing w:after="40"/>
            </w:pPr>
            <w:r>
              <w:rPr>
                <w:sz w:val="17"/>
              </w:rPr>
            </w:r>
            <w:r>
              <w:rPr>
                <w:b w:val="0"/>
                <w:sz w:val="17"/>
              </w:rPr>
              <w:t>Planscape</w:t>
            </w:r>
          </w:p>
        </w:tc>
        <w:tc>
          <w:tcPr>
            <w:tcW w:type="dxa" w:w="1814"/>
          </w:tcPr>
          <w:p>
            <w:pPr>
              <w:spacing w:after="40"/>
            </w:pPr>
            <w:r>
              <w:rPr>
                <w:sz w:val="17"/>
              </w:rPr>
            </w:r>
            <w:r>
              <w:rPr>
                <w:b w:val="0"/>
                <w:sz w:val="17"/>
              </w:rPr>
              <w:t>Mayanja Davis</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Checked by</w:t>
            </w:r>
          </w:p>
        </w:tc>
        <w:tc>
          <w:tcPr>
            <w:tcW w:type="dxa" w:w="1814"/>
          </w:tcPr>
          <w:p>
            <w:pPr>
              <w:spacing w:after="40"/>
            </w:pPr>
            <w:r>
              <w:rPr>
                <w:sz w:val="17"/>
              </w:rPr>
            </w:r>
            <w:r>
              <w:rPr>
                <w:b w:val="0"/>
                <w:sz w:val="17"/>
              </w:rPr>
              <w:t>[FILL]</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Approved by (Lead Appointed Party)</w:t>
            </w:r>
          </w:p>
        </w:tc>
        <w:tc>
          <w:tcPr>
            <w:tcW w:type="dxa" w:w="1814"/>
          </w:tcPr>
          <w:p>
            <w:pPr>
              <w:spacing w:after="40"/>
            </w:pPr>
            <w:r>
              <w:rPr>
                <w:sz w:val="17"/>
              </w:rPr>
            </w:r>
            <w:r>
              <w:rPr>
                <w:b w:val="0"/>
                <w:sz w:val="17"/>
              </w:rPr>
              <w:t>Symbion</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Accepted by (Appointing Party)</w:t>
            </w:r>
          </w:p>
        </w:tc>
        <w:tc>
          <w:tcPr>
            <w:tcW w:type="dxa" w:w="1814"/>
          </w:tcPr>
          <w:p>
            <w:pPr>
              <w:spacing w:after="40"/>
            </w:pPr>
            <w:r>
              <w:rPr>
                <w:sz w:val="17"/>
              </w:rPr>
            </w:r>
            <w:r>
              <w:rPr>
                <w:b w:val="0"/>
                <w:sz w:val="17"/>
              </w:rPr>
              <w:t>The Church</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bl>
    <w:p>
      <w:pPr>
        <w:spacing w:after="40"/>
      </w:pP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w:t>
      </w:r>
    </w:p>
    <w:p>
      <w:r>
        <w:rPr>
          <w:b w:val="0"/>
          <w:i w:val="0"/>
        </w:rPr>
        <w:t>This BIM Execution Plan sets out how the project team will produce, manage, exchange and hand over information for the Kampala Uganda Temple project, in accordance with BS EN ISO 19650 and the exchange information requirements of the Appointing Party.</w:t>
      </w:r>
    </w:p>
    <w:p>
      <w:r>
        <w:rPr>
          <w:b w:val="0"/>
          <w:i w:val="0"/>
        </w:rPr>
        <w:t>This plan is the contractual statement of the information requirements. The KUT Project Delivery Playbook (KUT-PLN-ZZ-ZZ-RP-Z-0002) is the working procedure that delivers them. Where the two documents differ, this plan takes precedence.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CURRENCY</w:t>
            </w:r>
          </w:p>
          <w:p>
            <w:r>
              <w:rPr>
                <w:b w:val="0"/>
                <w:sz w:val="19"/>
              </w:rPr>
              <w:t>This plan is reissued whenever the standards, the project team, the programme or the scope change. The current revision is the one published in the Common Data Environment.</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Introduction and project information</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Information requirements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Standards, methods and procedures</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Software, exchange formats and coordinate system</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Collaboration and coordination</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Security-minded approach</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Information delivery planning</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Quality assurance and model validation</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FF&amp;E, handover and operations</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Training and competence</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Risks and mitigation</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Asset data schedule</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Appendices</w:t>
            </w:r>
          </w:p>
        </w:tc>
      </w:tr>
    </w:tbl>
    <w:p>
      <w:pPr>
        <w:spacing w:after="40"/>
      </w:pPr>
    </w:p>
    <w:p>
      <w:r>
        <w:br w:type="page"/>
      </w:r>
    </w:p>
    <w:p>
      <w:pPr>
        <w:pStyle w:val="Heading1"/>
        <w:pBdr>
          <w:bottom w:val="single" w:sz="8" w:space="4" w:color="1F3654"/>
        </w:pBdr>
      </w:pPr>
      <w:r>
        <w:t>1  Introduction and project information</w:t>
      </w:r>
    </w:p>
    <w:p>
      <w:pPr>
        <w:pStyle w:val="Heading2"/>
      </w:pPr>
      <w:r>
        <w:t>1.1  Purpose</w:t>
      </w:r>
    </w:p>
    <w:p>
      <w:r>
        <w:rPr>
          <w:b w:val="0"/>
          <w:i w:val="0"/>
        </w:rPr>
        <w:t>This plan sets out the information management arrangements for the project: what information is required, who produces it, to what standard, by when, and how it is checked and accepted. It responds to the exchange information requirements issued by the Appointing Party and forms part of the appointment of every appointed party.</w:t>
      </w:r>
    </w:p>
    <w:p>
      <w:pPr>
        <w:pStyle w:val="Heading2"/>
      </w:pPr>
      <w:r>
        <w:t>1.2  Project details</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Project name</w:t>
            </w:r>
          </w:p>
        </w:tc>
        <w:tc>
          <w:tcPr>
            <w:tcW w:type="dxa" w:w="6917"/>
          </w:tcPr>
          <w:p>
            <w:pPr>
              <w:spacing w:after="40"/>
            </w:pPr>
            <w:r>
              <w:rPr>
                <w:sz w:val="17"/>
              </w:rPr>
            </w:r>
            <w:r>
              <w:rPr>
                <w:b w:val="0"/>
                <w:sz w:val="17"/>
              </w:rPr>
              <w:t>Kampala Uganda Temple</w:t>
            </w:r>
          </w:p>
        </w:tc>
      </w:tr>
      <w:tr>
        <w:tc>
          <w:tcPr>
            <w:tcW w:type="dxa" w:w="2494"/>
          </w:tcPr>
          <w:p>
            <w:pPr>
              <w:spacing w:after="40"/>
            </w:pPr>
            <w:r>
              <w:rPr>
                <w:sz w:val="17"/>
              </w:rPr>
            </w:r>
            <w:r>
              <w:rPr>
                <w:b w:val="0"/>
                <w:sz w:val="17"/>
              </w:rPr>
              <w:t>Project code</w:t>
            </w:r>
          </w:p>
        </w:tc>
        <w:tc>
          <w:tcPr>
            <w:tcW w:type="dxa" w:w="6917"/>
          </w:tcPr>
          <w:p>
            <w:pPr>
              <w:spacing w:after="40"/>
            </w:pPr>
            <w:r>
              <w:rPr>
                <w:sz w:val="17"/>
              </w:rPr>
            </w:r>
            <w:r>
              <w:rPr>
                <w:b w:val="0"/>
                <w:sz w:val="17"/>
              </w:rPr>
              <w:t>KUT</w:t>
            </w:r>
          </w:p>
        </w:tc>
      </w:tr>
      <w:tr>
        <w:tc>
          <w:tcPr>
            <w:tcW w:type="dxa" w:w="2494"/>
          </w:tcPr>
          <w:p>
            <w:pPr>
              <w:spacing w:after="40"/>
            </w:pPr>
            <w:r>
              <w:rPr>
                <w:sz w:val="17"/>
              </w:rPr>
            </w:r>
            <w:r>
              <w:rPr>
                <w:b w:val="0"/>
                <w:sz w:val="17"/>
              </w:rPr>
              <w:t>Location</w:t>
            </w:r>
          </w:p>
        </w:tc>
        <w:tc>
          <w:tcPr>
            <w:tcW w:type="dxa" w:w="6917"/>
          </w:tcPr>
          <w:p>
            <w:pPr>
              <w:spacing w:after="40"/>
            </w:pPr>
            <w:r>
              <w:rPr>
                <w:sz w:val="17"/>
              </w:rPr>
            </w:r>
            <w:r>
              <w:rPr>
                <w:b w:val="0"/>
                <w:sz w:val="17"/>
              </w:rPr>
              <w:t>[FILL — address, Kampala, Uganda]</w:t>
            </w:r>
          </w:p>
        </w:tc>
      </w:tr>
      <w:tr>
        <w:tc>
          <w:tcPr>
            <w:tcW w:type="dxa" w:w="2494"/>
          </w:tcPr>
          <w:p>
            <w:pPr>
              <w:spacing w:after="40"/>
            </w:pPr>
            <w:r>
              <w:rPr>
                <w:sz w:val="17"/>
              </w:rPr>
            </w:r>
            <w:r>
              <w:rPr>
                <w:b w:val="0"/>
                <w:sz w:val="17"/>
              </w:rPr>
              <w:t>Description</w:t>
            </w:r>
          </w:p>
        </w:tc>
        <w:tc>
          <w:tcPr>
            <w:tcW w:type="dxa" w:w="6917"/>
          </w:tcPr>
          <w:p>
            <w:pPr>
              <w:spacing w:after="40"/>
            </w:pPr>
            <w:r>
              <w:rPr>
                <w:sz w:val="17"/>
              </w:rPr>
            </w:r>
            <w:r>
              <w:rPr>
                <w:b w:val="0"/>
                <w:sz w:val="17"/>
              </w:rPr>
              <w:t>[FILL — temple and ancillary buildings, gross floor area, storeys]</w:t>
            </w:r>
          </w:p>
        </w:tc>
      </w:tr>
      <w:tr>
        <w:tc>
          <w:tcPr>
            <w:tcW w:type="dxa" w:w="2494"/>
          </w:tcPr>
          <w:p>
            <w:pPr>
              <w:spacing w:after="40"/>
            </w:pPr>
            <w:r>
              <w:rPr>
                <w:sz w:val="17"/>
              </w:rPr>
            </w:r>
            <w:r>
              <w:rPr>
                <w:b w:val="0"/>
                <w:sz w:val="17"/>
              </w:rPr>
              <w:t>Procurement route</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Form of contract</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Programme</w:t>
            </w:r>
          </w:p>
        </w:tc>
        <w:tc>
          <w:tcPr>
            <w:tcW w:type="dxa" w:w="6917"/>
          </w:tcPr>
          <w:p>
            <w:pPr>
              <w:spacing w:after="40"/>
            </w:pPr>
            <w:r>
              <w:rPr>
                <w:sz w:val="17"/>
              </w:rPr>
            </w:r>
            <w:r>
              <w:rPr>
                <w:b w:val="0"/>
                <w:sz w:val="17"/>
              </w:rPr>
              <w:t>49 months. Phase 2 (design) 11 months; Phase 3 (construction and close-out) 38 months. See Section 9</w:t>
            </w:r>
          </w:p>
        </w:tc>
      </w:tr>
      <w:tr>
        <w:tc>
          <w:tcPr>
            <w:tcW w:type="dxa" w:w="2494"/>
          </w:tcPr>
          <w:p>
            <w:pPr>
              <w:spacing w:after="40"/>
            </w:pPr>
            <w:r>
              <w:rPr>
                <w:sz w:val="17"/>
              </w:rPr>
            </w:r>
            <w:r>
              <w:rPr>
                <w:b w:val="0"/>
                <w:sz w:val="17"/>
              </w:rPr>
              <w:t>Key dates</w:t>
            </w:r>
          </w:p>
        </w:tc>
        <w:tc>
          <w:tcPr>
            <w:tcW w:type="dxa" w:w="6917"/>
          </w:tcPr>
          <w:p>
            <w:pPr>
              <w:spacing w:after="40"/>
            </w:pPr>
            <w:r>
              <w:rPr>
                <w:sz w:val="17"/>
              </w:rPr>
            </w:r>
            <w:r>
              <w:rPr>
                <w:b w:val="0"/>
                <w:sz w:val="17"/>
              </w:rPr>
              <w:t>[FILL — appointment, Deliverables A to D, practical completion]</w:t>
            </w:r>
          </w:p>
        </w:tc>
      </w:tr>
    </w:tbl>
    <w:p>
      <w:pPr>
        <w:spacing w:after="40"/>
      </w:pPr>
    </w:p>
    <w:p>
      <w:pPr>
        <w:pStyle w:val="Heading2"/>
      </w:pPr>
      <w:r>
        <w:t>1.3  Volumes</w:t>
      </w:r>
    </w:p>
    <w:p>
      <w:r>
        <w:rPr>
          <w:b w:val="0"/>
          <w:i w:val="0"/>
        </w:rPr>
        <w:t>The project is divided into seven volumes. The volume governs how models are divided and federated, and forms a field in every container name and asset identifier.</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1.4  Objectives and information uses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567"/>
            <w:shd w:val="clear" w:fill="E8EDF3"/>
          </w:tcPr>
          <w:p>
            <w:r/>
            <w:r>
              <w:rPr>
                <w:b/>
                <w:color w:val="1F3654"/>
                <w:sz w:val="17"/>
              </w:rPr>
              <w:t>#</w:t>
            </w:r>
          </w:p>
        </w:tc>
        <w:tc>
          <w:tcPr>
            <w:tcW w:type="dxa" w:w="2381"/>
            <w:shd w:val="clear" w:fill="E8EDF3"/>
          </w:tcPr>
          <w:p>
            <w:r/>
            <w:r>
              <w:rPr>
                <w:b/>
                <w:color w:val="1F3654"/>
                <w:sz w:val="17"/>
              </w:rPr>
              <w:t>Objective</w:t>
            </w:r>
          </w:p>
        </w:tc>
        <w:tc>
          <w:tcPr>
            <w:tcW w:type="dxa" w:w="2948"/>
            <w:shd w:val="clear" w:fill="E8EDF3"/>
          </w:tcPr>
          <w:p>
            <w:r/>
            <w:r>
              <w:rPr>
                <w:b/>
                <w:color w:val="1F3654"/>
                <w:sz w:val="17"/>
              </w:rPr>
              <w:t>Information use</w:t>
            </w:r>
          </w:p>
        </w:tc>
        <w:tc>
          <w:tcPr>
            <w:tcW w:type="dxa" w:w="3515"/>
            <w:shd w:val="clear" w:fill="E8EDF3"/>
          </w:tcPr>
          <w:p>
            <w:r/>
            <w:r>
              <w:rPr>
                <w:b/>
                <w:color w:val="1F3654"/>
                <w:sz w:val="17"/>
              </w:rPr>
              <w:t>Success measure</w:t>
            </w:r>
          </w:p>
        </w:tc>
      </w:tr>
      <w:tr>
        <w:tc>
          <w:tcPr>
            <w:tcW w:type="dxa" w:w="567"/>
          </w:tcPr>
          <w:p>
            <w:pPr>
              <w:spacing w:after="40"/>
            </w:pPr>
            <w:r>
              <w:rPr>
                <w:sz w:val="17"/>
              </w:rPr>
            </w:r>
            <w:r>
              <w:rPr>
                <w:b w:val="0"/>
                <w:sz w:val="17"/>
              </w:rPr>
              <w:t>1</w:t>
            </w:r>
          </w:p>
        </w:tc>
        <w:tc>
          <w:tcPr>
            <w:tcW w:type="dxa" w:w="2381"/>
          </w:tcPr>
          <w:p>
            <w:pPr>
              <w:spacing w:after="40"/>
            </w:pPr>
            <w:r>
              <w:rPr>
                <w:sz w:val="17"/>
              </w:rPr>
            </w:r>
            <w:r>
              <w:rPr>
                <w:b w:val="0"/>
                <w:sz w:val="17"/>
              </w:rPr>
              <w:t>Coordinated design</w:t>
            </w:r>
          </w:p>
        </w:tc>
        <w:tc>
          <w:tcPr>
            <w:tcW w:type="dxa" w:w="2948"/>
          </w:tcPr>
          <w:p>
            <w:pPr>
              <w:spacing w:after="40"/>
            </w:pPr>
            <w:r>
              <w:rPr>
                <w:sz w:val="17"/>
              </w:rPr>
            </w:r>
            <w:r>
              <w:rPr>
                <w:b w:val="0"/>
                <w:sz w:val="17"/>
              </w:rPr>
              <w:t>Three-dimensional coordination and clash detection</w:t>
            </w:r>
          </w:p>
        </w:tc>
        <w:tc>
          <w:tcPr>
            <w:tcW w:type="dxa" w:w="3515"/>
          </w:tcPr>
          <w:p>
            <w:pPr>
              <w:spacing w:after="40"/>
            </w:pPr>
            <w:r>
              <w:rPr>
                <w:sz w:val="17"/>
              </w:rPr>
            </w:r>
            <w:r>
              <w:rPr>
                <w:b w:val="0"/>
                <w:sz w:val="17"/>
              </w:rPr>
              <w:t>No unresolved high priority clashes at any data drop</w:t>
            </w:r>
          </w:p>
        </w:tc>
      </w:tr>
      <w:tr>
        <w:tc>
          <w:tcPr>
            <w:tcW w:type="dxa" w:w="567"/>
          </w:tcPr>
          <w:p>
            <w:pPr>
              <w:spacing w:after="40"/>
            </w:pPr>
            <w:r>
              <w:rPr>
                <w:sz w:val="17"/>
              </w:rPr>
            </w:r>
            <w:r>
              <w:rPr>
                <w:b w:val="0"/>
                <w:sz w:val="17"/>
              </w:rPr>
              <w:t>2</w:t>
            </w:r>
          </w:p>
        </w:tc>
        <w:tc>
          <w:tcPr>
            <w:tcW w:type="dxa" w:w="2381"/>
          </w:tcPr>
          <w:p>
            <w:pPr>
              <w:spacing w:after="40"/>
            </w:pPr>
            <w:r>
              <w:rPr>
                <w:sz w:val="17"/>
              </w:rPr>
            </w:r>
            <w:r>
              <w:rPr>
                <w:b w:val="0"/>
                <w:sz w:val="17"/>
              </w:rPr>
              <w:t>Reliable quantities and cost</w:t>
            </w:r>
          </w:p>
        </w:tc>
        <w:tc>
          <w:tcPr>
            <w:tcW w:type="dxa" w:w="2948"/>
          </w:tcPr>
          <w:p>
            <w:pPr>
              <w:spacing w:after="40"/>
            </w:pPr>
            <w:r>
              <w:rPr>
                <w:sz w:val="17"/>
              </w:rPr>
            </w:r>
            <w:r>
              <w:rPr>
                <w:b w:val="0"/>
                <w:sz w:val="17"/>
              </w:rPr>
              <w:t>Quantity take-off</w:t>
            </w:r>
          </w:p>
        </w:tc>
        <w:tc>
          <w:tcPr>
            <w:tcW w:type="dxa" w:w="3515"/>
          </w:tcPr>
          <w:p>
            <w:pPr>
              <w:spacing w:after="40"/>
            </w:pPr>
            <w:r>
              <w:rPr>
                <w:sz w:val="17"/>
              </w:rPr>
            </w:r>
            <w:r>
              <w:rPr>
                <w:b w:val="0"/>
                <w:sz w:val="17"/>
              </w:rPr>
              <w:t>Bill of quantities produced from the model at Deliverables B and C</w:t>
            </w:r>
          </w:p>
        </w:tc>
      </w:tr>
      <w:tr>
        <w:tc>
          <w:tcPr>
            <w:tcW w:type="dxa" w:w="567"/>
          </w:tcPr>
          <w:p>
            <w:pPr>
              <w:spacing w:after="40"/>
            </w:pPr>
            <w:r>
              <w:rPr>
                <w:sz w:val="17"/>
              </w:rPr>
            </w:r>
            <w:r>
              <w:rPr>
                <w:b w:val="0"/>
                <w:sz w:val="17"/>
              </w:rPr>
              <w:t>3</w:t>
            </w:r>
          </w:p>
        </w:tc>
        <w:tc>
          <w:tcPr>
            <w:tcW w:type="dxa" w:w="2381"/>
          </w:tcPr>
          <w:p>
            <w:pPr>
              <w:spacing w:after="40"/>
            </w:pPr>
            <w:r>
              <w:rPr>
                <w:sz w:val="17"/>
              </w:rPr>
            </w:r>
            <w:r>
              <w:rPr>
                <w:b w:val="0"/>
                <w:sz w:val="17"/>
              </w:rPr>
              <w:t>Efficient documentation</w:t>
            </w:r>
          </w:p>
        </w:tc>
        <w:tc>
          <w:tcPr>
            <w:tcW w:type="dxa" w:w="2948"/>
          </w:tcPr>
          <w:p>
            <w:pPr>
              <w:spacing w:after="40"/>
            </w:pPr>
            <w:r>
              <w:rPr>
                <w:sz w:val="17"/>
              </w:rPr>
            </w:r>
            <w:r>
              <w:rPr>
                <w:b w:val="0"/>
                <w:sz w:val="17"/>
              </w:rPr>
              <w:t>Drawing production</w:t>
            </w:r>
          </w:p>
        </w:tc>
        <w:tc>
          <w:tcPr>
            <w:tcW w:type="dxa" w:w="3515"/>
          </w:tcPr>
          <w:p>
            <w:pPr>
              <w:spacing w:after="40"/>
            </w:pPr>
            <w:r>
              <w:rPr>
                <w:sz w:val="17"/>
              </w:rPr>
            </w:r>
            <w:r>
              <w:rPr>
                <w:b w:val="0"/>
                <w:sz w:val="17"/>
              </w:rPr>
              <w:t>Drawings produced to the project standard from the coordinated models</w:t>
            </w:r>
          </w:p>
        </w:tc>
      </w:tr>
      <w:tr>
        <w:tc>
          <w:tcPr>
            <w:tcW w:type="dxa" w:w="567"/>
          </w:tcPr>
          <w:p>
            <w:pPr>
              <w:spacing w:after="40"/>
            </w:pPr>
            <w:r>
              <w:rPr>
                <w:sz w:val="17"/>
              </w:rPr>
            </w:r>
            <w:r>
              <w:rPr>
                <w:b w:val="0"/>
                <w:sz w:val="17"/>
              </w:rPr>
              <w:t>4</w:t>
            </w:r>
          </w:p>
        </w:tc>
        <w:tc>
          <w:tcPr>
            <w:tcW w:type="dxa" w:w="2381"/>
          </w:tcPr>
          <w:p>
            <w:pPr>
              <w:spacing w:after="40"/>
            </w:pPr>
            <w:r>
              <w:rPr>
                <w:sz w:val="17"/>
              </w:rPr>
            </w:r>
            <w:r>
              <w:rPr>
                <w:b w:val="0"/>
                <w:sz w:val="17"/>
              </w:rPr>
              <w:t>FF&amp;E and handover</w:t>
            </w:r>
          </w:p>
        </w:tc>
        <w:tc>
          <w:tcPr>
            <w:tcW w:type="dxa" w:w="2948"/>
          </w:tcPr>
          <w:p>
            <w:pPr>
              <w:spacing w:after="40"/>
            </w:pPr>
            <w:r>
              <w:rPr>
                <w:sz w:val="17"/>
              </w:rPr>
            </w:r>
            <w:r>
              <w:rPr>
                <w:b w:val="0"/>
                <w:sz w:val="17"/>
              </w:rPr>
              <w:t>FF&amp;E specification, structured handover data</w:t>
            </w:r>
          </w:p>
        </w:tc>
        <w:tc>
          <w:tcPr>
            <w:tcW w:type="dxa" w:w="3515"/>
          </w:tcPr>
          <w:p>
            <w:pPr>
              <w:spacing w:after="40"/>
            </w:pPr>
            <w:r>
              <w:rPr>
                <w:sz w:val="17"/>
              </w:rPr>
            </w:r>
            <w:r>
              <w:rPr>
                <w:b w:val="0"/>
                <w:sz w:val="17"/>
              </w:rPr>
              <w:t>COBie and operation and maintenance information delivered at Deliverable D</w:t>
            </w:r>
          </w:p>
        </w:tc>
      </w:tr>
      <w:tr>
        <w:tc>
          <w:tcPr>
            <w:tcW w:type="dxa" w:w="567"/>
          </w:tcPr>
          <w:p>
            <w:pPr>
              <w:spacing w:after="40"/>
            </w:pPr>
            <w:r>
              <w:rPr>
                <w:sz w:val="17"/>
              </w:rPr>
            </w:r>
            <w:r>
              <w:rPr>
                <w:b w:val="0"/>
                <w:sz w:val="17"/>
              </w:rPr>
              <w:t>5</w:t>
            </w:r>
          </w:p>
        </w:tc>
        <w:tc>
          <w:tcPr>
            <w:tcW w:type="dxa" w:w="2381"/>
          </w:tcPr>
          <w:p>
            <w:pPr>
              <w:spacing w:after="40"/>
            </w:pPr>
            <w:r>
              <w:rPr>
                <w:sz w:val="17"/>
              </w:rPr>
            </w:r>
            <w:r>
              <w:rPr>
                <w:b w:val="0"/>
                <w:sz w:val="17"/>
              </w:rPr>
              <w:t>Operational readiness</w:t>
            </w:r>
          </w:p>
        </w:tc>
        <w:tc>
          <w:tcPr>
            <w:tcW w:type="dxa" w:w="2948"/>
          </w:tcPr>
          <w:p>
            <w:pPr>
              <w:spacing w:after="40"/>
            </w:pPr>
            <w:r>
              <w:rPr>
                <w:sz w:val="17"/>
              </w:rPr>
            </w:r>
            <w:r>
              <w:rPr>
                <w:b w:val="0"/>
                <w:sz w:val="17"/>
              </w:rPr>
              <w:t>Building management system integration</w:t>
            </w:r>
          </w:p>
        </w:tc>
        <w:tc>
          <w:tcPr>
            <w:tcW w:type="dxa" w:w="3515"/>
          </w:tcPr>
          <w:p>
            <w:pPr>
              <w:spacing w:after="40"/>
            </w:pPr>
            <w:r>
              <w:rPr>
                <w:sz w:val="17"/>
              </w:rPr>
            </w:r>
            <w:r>
              <w:rPr>
                <w:b w:val="0"/>
                <w:sz w:val="17"/>
              </w:rPr>
              <w:t>Record model reconciled to the live building management system at handover</w:t>
            </w:r>
          </w:p>
        </w:tc>
      </w:tr>
      <w:tr>
        <w:tc>
          <w:tcPr>
            <w:tcW w:type="dxa" w:w="567"/>
          </w:tcPr>
          <w:p>
            <w:pPr>
              <w:spacing w:after="40"/>
            </w:pPr>
            <w:r>
              <w:rPr>
                <w:sz w:val="17"/>
              </w:rPr>
            </w:r>
            <w:r>
              <w:rPr>
                <w:b w:val="0"/>
                <w:sz w:val="17"/>
              </w:rPr>
              <w:t>6</w:t>
            </w:r>
          </w:p>
        </w:tc>
        <w:tc>
          <w:tcPr>
            <w:tcW w:type="dxa" w:w="2381"/>
          </w:tcPr>
          <w:p>
            <w:pPr>
              <w:spacing w:after="40"/>
            </w:pPr>
            <w:r>
              <w:rPr>
                <w:sz w:val="17"/>
              </w:rPr>
            </w:r>
            <w:r>
              <w:rPr>
                <w:b w:val="0"/>
                <w:sz w:val="17"/>
              </w:rPr>
              <w:t>[FILL]</w:t>
            </w:r>
          </w:p>
        </w:tc>
        <w:tc>
          <w:tcPr>
            <w:tcW w:type="dxa" w:w="2948"/>
          </w:tcPr>
          <w:p>
            <w:pPr>
              <w:spacing w:after="40"/>
            </w:pPr>
            <w:r>
              <w:rPr>
                <w:sz w:val="17"/>
              </w:rPr>
            </w:r>
            <w:r>
              <w:rPr>
                <w:b w:val="0"/>
                <w:sz w:val="17"/>
              </w:rPr>
              <w:t>[FILL]</w:t>
            </w:r>
          </w:p>
        </w:tc>
        <w:tc>
          <w:tcPr>
            <w:tcW w:type="dxa" w:w="3515"/>
          </w:tcPr>
          <w:p>
            <w:pPr>
              <w:spacing w:after="40"/>
            </w:pPr>
            <w:r>
              <w:rPr>
                <w:sz w:val="17"/>
              </w:rPr>
            </w:r>
            <w:r>
              <w:rPr>
                <w:b w:val="0"/>
                <w:sz w:val="17"/>
              </w:rPr>
              <w:t>[FILL]</w:t>
            </w:r>
          </w:p>
        </w:tc>
      </w:tr>
    </w:tbl>
    <w:p>
      <w:pPr>
        <w:spacing w:after="40"/>
      </w:pPr>
    </w:p>
    <w:p>
      <w:r>
        <w:br w:type="page"/>
      </w:r>
    </w:p>
    <w:p>
      <w:pPr>
        <w:pStyle w:val="Heading1"/>
        <w:pBdr>
          <w:bottom w:val="single" w:sz="8" w:space="4" w:color="1F3654"/>
        </w:pBdr>
      </w:pPr>
      <w:r>
        <w:t>2  Roles, responsibilities and authorities</w:t>
      </w:r>
    </w:p>
    <w:p>
      <w:pPr>
        <w:pStyle w:val="Heading2"/>
      </w:pPr>
      <w:r>
        <w:t>2.1  Information management roles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175"/>
            <w:shd w:val="clear" w:fill="E8EDF3"/>
          </w:tcPr>
          <w:p>
            <w:r/>
            <w:r>
              <w:rPr>
                <w:b/>
                <w:color w:val="1F3654"/>
                <w:sz w:val="17"/>
              </w:rPr>
              <w:t>Role</w:t>
            </w:r>
          </w:p>
        </w:tc>
        <w:tc>
          <w:tcPr>
            <w:tcW w:type="dxa" w:w="2494"/>
            <w:shd w:val="clear" w:fill="E8EDF3"/>
          </w:tcPr>
          <w:p>
            <w:r/>
            <w:r>
              <w:rPr>
                <w:b/>
                <w:color w:val="1F3654"/>
                <w:sz w:val="17"/>
              </w:rPr>
              <w:t>Organisation</w:t>
            </w:r>
          </w:p>
        </w:tc>
        <w:tc>
          <w:tcPr>
            <w:tcW w:type="dxa" w:w="1928"/>
            <w:shd w:val="clear" w:fill="E8EDF3"/>
          </w:tcPr>
          <w:p>
            <w:r/>
            <w:r>
              <w:rPr>
                <w:b/>
                <w:color w:val="1F3654"/>
                <w:sz w:val="17"/>
              </w:rPr>
              <w:t>Name</w:t>
            </w:r>
          </w:p>
        </w:tc>
        <w:tc>
          <w:tcPr>
            <w:tcW w:type="dxa" w:w="1814"/>
            <w:shd w:val="clear" w:fill="E8EDF3"/>
          </w:tcPr>
          <w:p>
            <w:r/>
            <w:r>
              <w:rPr>
                <w:b/>
                <w:color w:val="1F3654"/>
                <w:sz w:val="17"/>
              </w:rPr>
              <w:t>Contact</w:t>
            </w:r>
          </w:p>
        </w:tc>
      </w:tr>
      <w:tr>
        <w:tc>
          <w:tcPr>
            <w:tcW w:type="dxa" w:w="3175"/>
          </w:tcPr>
          <w:p>
            <w:pPr>
              <w:spacing w:after="40"/>
            </w:pPr>
            <w:r>
              <w:rPr>
                <w:sz w:val="17"/>
              </w:rPr>
            </w:r>
            <w:r>
              <w:rPr>
                <w:b w:val="0"/>
                <w:sz w:val="17"/>
              </w:rPr>
              <w:t>Appointing Party</w:t>
            </w:r>
          </w:p>
        </w:tc>
        <w:tc>
          <w:tcPr>
            <w:tcW w:type="dxa" w:w="2494"/>
          </w:tcPr>
          <w:p>
            <w:pPr>
              <w:spacing w:after="40"/>
            </w:pPr>
            <w:r>
              <w:rPr>
                <w:sz w:val="17"/>
              </w:rPr>
            </w:r>
            <w:r>
              <w:rPr>
                <w:b w:val="0"/>
                <w:sz w:val="17"/>
              </w:rPr>
              <w:t>The Church — Special Projects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Lead Appointed Party</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Information Manager</w:t>
            </w:r>
          </w:p>
        </w:tc>
        <w:tc>
          <w:tcPr>
            <w:tcW w:type="dxa" w:w="2494"/>
          </w:tcPr>
          <w:p>
            <w:pPr>
              <w:spacing w:after="40"/>
            </w:pPr>
            <w:r>
              <w:rPr>
                <w:sz w:val="17"/>
              </w:rPr>
            </w:r>
            <w:r>
              <w:rPr>
                <w:b w:val="0"/>
                <w:sz w:val="17"/>
              </w:rPr>
              <w:t>Planscape Consulting Engineers Ltd</w:t>
            </w:r>
          </w:p>
        </w:tc>
        <w:tc>
          <w:tcPr>
            <w:tcW w:type="dxa" w:w="1928"/>
          </w:tcPr>
          <w:p>
            <w:pPr>
              <w:spacing w:after="40"/>
            </w:pPr>
            <w:r>
              <w:rPr>
                <w:sz w:val="17"/>
              </w:rPr>
            </w:r>
            <w:r>
              <w:rPr>
                <w:b w:val="0"/>
                <w:sz w:val="17"/>
              </w:rPr>
              <w:t>Mayanja Davis</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BIM Coordinator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Architecture and interiors</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Structural</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Mechanical, electrical and plumbing</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Fire protection</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Civil and site</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Quantity Surveyor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Contractor (from Stage 3.1)</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bl>
    <w:p>
      <w:pPr>
        <w:spacing w:after="40"/>
      </w:pPr>
    </w:p>
    <w:p>
      <w:pPr>
        <w:pStyle w:val="Heading2"/>
      </w:pPr>
      <w:r>
        <w:t>2.2  Authorities</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LIMIT OF THE INFORMATION MANAGER ROLE</w:t>
            </w:r>
          </w:p>
          <w:p>
            <w:r>
              <w:rPr>
                <w:b w:val="0"/>
                <w:sz w:val="19"/>
              </w:rPr>
              <w:t>The Information Manager is accountable for information management, coordination and verification. Design responsibility remains with the appointed party producing the design. Where coordination requires a design change, that change is made and signed by the responsible discipline.</w:t>
            </w:r>
          </w:p>
        </w:tc>
      </w:tr>
    </w:tbl>
    <w:p>
      <w:pPr>
        <w:spacing w:after="40"/>
      </w:pPr>
    </w:p>
    <w:p>
      <w:pPr>
        <w:pStyle w:val="Heading2"/>
      </w:pPr>
      <w:r>
        <w:t>2.3  Responsibility matrix</w:t>
      </w:r>
    </w:p>
    <w:p>
      <w:r>
        <w:rPr>
          <w:b w:val="0"/>
          <w:i/>
          <w:sz w:val="18"/>
        </w:rPr>
        <w:t>R — carries out the work.   A — accountable for the outcome.   C — consulted.   I — informed. The matrix is expanded per deliverable in the delivery plans referred to in Section 9.</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Set standards and issue the project template</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Produce discipline models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and 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Approve a data drop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cost</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information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information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3  Information requirements</w:t>
      </w:r>
    </w:p>
    <w:p>
      <w:pPr>
        <w:pStyle w:val="Heading2"/>
      </w:pPr>
      <w:r>
        <w:t>3.1  Requirement sources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608"/>
            <w:shd w:val="clear" w:fill="E8EDF3"/>
          </w:tcPr>
          <w:p>
            <w:r/>
            <w:r>
              <w:rPr>
                <w:b/>
                <w:color w:val="1F3654"/>
                <w:sz w:val="17"/>
              </w:rPr>
              <w:t>Requirement</w:t>
            </w:r>
          </w:p>
        </w:tc>
        <w:tc>
          <w:tcPr>
            <w:tcW w:type="dxa" w:w="2268"/>
            <w:shd w:val="clear" w:fill="E8EDF3"/>
          </w:tcPr>
          <w:p>
            <w:r/>
            <w:r>
              <w:rPr>
                <w:b/>
                <w:color w:val="1F3654"/>
                <w:sz w:val="17"/>
              </w:rPr>
              <w:t>Reference</w:t>
            </w:r>
          </w:p>
        </w:tc>
        <w:tc>
          <w:tcPr>
            <w:tcW w:type="dxa" w:w="4535"/>
            <w:shd w:val="clear" w:fill="E8EDF3"/>
          </w:tcPr>
          <w:p>
            <w:r/>
            <w:r>
              <w:rPr>
                <w:b/>
                <w:color w:val="1F3654"/>
                <w:sz w:val="17"/>
              </w:rPr>
              <w:t>How it is satisfied</w:t>
            </w:r>
          </w:p>
        </w:tc>
      </w:tr>
      <w:tr>
        <w:tc>
          <w:tcPr>
            <w:tcW w:type="dxa" w:w="2608"/>
          </w:tcPr>
          <w:p>
            <w:pPr>
              <w:spacing w:after="40"/>
            </w:pPr>
            <w:r>
              <w:rPr>
                <w:sz w:val="17"/>
              </w:rPr>
            </w:r>
            <w:r>
              <w:rPr>
                <w:b w:val="0"/>
                <w:sz w:val="17"/>
              </w:rPr>
              <w:t>Exchange information requirements</w:t>
            </w:r>
          </w:p>
        </w:tc>
        <w:tc>
          <w:tcPr>
            <w:tcW w:type="dxa" w:w="2268"/>
          </w:tcPr>
          <w:p>
            <w:pPr>
              <w:spacing w:after="40"/>
            </w:pPr>
            <w:r>
              <w:rPr>
                <w:sz w:val="17"/>
              </w:rPr>
            </w:r>
            <w:r>
              <w:rPr>
                <w:b w:val="0"/>
                <w:sz w:val="17"/>
              </w:rPr>
              <w:t>[FILL — document reference]</w:t>
            </w:r>
          </w:p>
        </w:tc>
        <w:tc>
          <w:tcPr>
            <w:tcW w:type="dxa" w:w="4535"/>
          </w:tcPr>
          <w:p>
            <w:pPr>
              <w:spacing w:after="40"/>
            </w:pPr>
            <w:r>
              <w:rPr>
                <w:sz w:val="17"/>
              </w:rPr>
            </w:r>
            <w:r>
              <w:rPr>
                <w:b w:val="0"/>
                <w:sz w:val="17"/>
              </w:rPr>
              <w:t>This plan and the delivery plans in Section 9</w:t>
            </w:r>
          </w:p>
        </w:tc>
      </w:tr>
      <w:tr>
        <w:tc>
          <w:tcPr>
            <w:tcW w:type="dxa" w:w="2608"/>
          </w:tcPr>
          <w:p>
            <w:pPr>
              <w:spacing w:after="40"/>
            </w:pPr>
            <w:r>
              <w:rPr>
                <w:sz w:val="17"/>
              </w:rPr>
            </w:r>
            <w:r>
              <w:rPr>
                <w:b w:val="0"/>
                <w:sz w:val="17"/>
              </w:rPr>
              <w:t>Project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[FILL]</w:t>
            </w:r>
          </w:p>
        </w:tc>
      </w:tr>
      <w:tr>
        <w:tc>
          <w:tcPr>
            <w:tcW w:type="dxa" w:w="2608"/>
          </w:tcPr>
          <w:p>
            <w:pPr>
              <w:spacing w:after="40"/>
            </w:pPr>
            <w:r>
              <w:rPr>
                <w:sz w:val="17"/>
              </w:rPr>
            </w:r>
            <w:r>
              <w:rPr>
                <w:b w:val="0"/>
                <w:sz w:val="17"/>
              </w:rPr>
              <w:t>Asset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Structured handover data, operation and maintenance information, and the reconciled building management system point register delivered at Deliverable D</w:t>
            </w:r>
          </w:p>
        </w:tc>
      </w:tr>
    </w:tbl>
    <w:p>
      <w:pPr>
        <w:spacing w:after="40"/>
      </w:pPr>
    </w:p>
    <w:p>
      <w:pPr>
        <w:pStyle w:val="Heading2"/>
      </w:pPr>
      <w:r>
        <w:t>3.2  Level of information need by stage</w:t>
      </w:r>
    </w:p>
    <w:p>
      <w:r>
        <w:rPr>
          <w:b w:val="0"/>
          <w:i w:val="0"/>
        </w:rPr>
        <w:t>Level of information need comprises geometry, alphanumeric data and documentation. The detailed parameter requirements per category are set out in Section 7 of the Project Delivery Playbook and are verified automatically at each gate.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7"/>
              </w:rPr>
              <w:t>Stage</w:t>
            </w:r>
          </w:p>
        </w:tc>
        <w:tc>
          <w:tcPr>
            <w:tcW w:type="dxa" w:w="1361"/>
            <w:shd w:val="clear" w:fill="E8EDF3"/>
          </w:tcPr>
          <w:p>
            <w:r/>
            <w:r>
              <w:rPr>
                <w:b/>
                <w:color w:val="1F3654"/>
                <w:sz w:val="17"/>
              </w:rPr>
              <w:t>Geometry (LOD)</w:t>
            </w:r>
          </w:p>
        </w:tc>
        <w:tc>
          <w:tcPr>
            <w:tcW w:type="dxa" w:w="2835"/>
            <w:shd w:val="clear" w:fill="E8EDF3"/>
          </w:tcPr>
          <w:p>
            <w:r/>
            <w:r>
              <w:rPr>
                <w:b/>
                <w:color w:val="1F3654"/>
                <w:sz w:val="17"/>
              </w:rPr>
              <w:t>Alphanumeric data</w:t>
            </w:r>
          </w:p>
        </w:tc>
        <w:tc>
          <w:tcPr>
            <w:tcW w:type="dxa" w:w="2381"/>
            <w:shd w:val="clear" w:fill="E8EDF3"/>
          </w:tcPr>
          <w:p>
            <w:r/>
            <w:r>
              <w:rPr>
                <w:b/>
                <w:color w:val="1F3654"/>
                <w:sz w:val="17"/>
              </w:rPr>
              <w:t>Documentation</w:t>
            </w:r>
          </w:p>
        </w:tc>
      </w:tr>
      <w:tr>
        <w:tc>
          <w:tcPr>
            <w:tcW w:type="dxa" w:w="2835"/>
          </w:tcPr>
          <w:p>
            <w:pPr>
              <w:spacing w:after="40"/>
            </w:pPr>
            <w:r>
              <w:rPr>
                <w:sz w:val="17"/>
              </w:rPr>
            </w:r>
            <w:r>
              <w:rPr>
                <w:b w:val="0"/>
                <w:sz w:val="17"/>
              </w:rPr>
              <w:t>2.1  Basis of Design (Deliverable A)</w:t>
            </w:r>
          </w:p>
        </w:tc>
        <w:tc>
          <w:tcPr>
            <w:tcW w:type="dxa" w:w="1361"/>
          </w:tcPr>
          <w:p>
            <w:pPr>
              <w:spacing w:after="40"/>
            </w:pPr>
            <w:r>
              <w:rPr>
                <w:sz w:val="17"/>
              </w:rPr>
            </w:r>
            <w:r>
              <w:rPr>
                <w:b w:val="0"/>
                <w:sz w:val="17"/>
              </w:rPr>
              <w:t>200</w:t>
            </w:r>
          </w:p>
        </w:tc>
        <w:tc>
          <w:tcPr>
            <w:tcW w:type="dxa" w:w="2835"/>
          </w:tcPr>
          <w:p>
            <w:pPr>
              <w:spacing w:after="40"/>
            </w:pPr>
            <w:r>
              <w:rPr>
                <w:sz w:val="17"/>
              </w:rPr>
            </w:r>
            <w:r>
              <w:rPr>
                <w:b w:val="0"/>
                <w:sz w:val="17"/>
              </w:rPr>
              <w:t>Identity and spatial data</w:t>
            </w:r>
          </w:p>
        </w:tc>
        <w:tc>
          <w:tcPr>
            <w:tcW w:type="dxa" w:w="2381"/>
          </w:tcPr>
          <w:p>
            <w:pPr>
              <w:spacing w:after="40"/>
            </w:pPr>
            <w:r>
              <w:rPr>
                <w:sz w:val="17"/>
              </w:rPr>
            </w:r>
            <w:r>
              <w:rPr>
                <w:b w:val="0"/>
                <w:sz w:val="17"/>
              </w:rPr>
              <w:t>Basis of design report</w:t>
            </w:r>
          </w:p>
        </w:tc>
      </w:tr>
      <w:tr>
        <w:tc>
          <w:tcPr>
            <w:tcW w:type="dxa" w:w="2835"/>
          </w:tcPr>
          <w:p>
            <w:pPr>
              <w:spacing w:after="40"/>
            </w:pPr>
            <w:r>
              <w:rPr>
                <w:sz w:val="17"/>
              </w:rPr>
            </w:r>
            <w:r>
              <w:rPr>
                <w:b w:val="0"/>
                <w:sz w:val="17"/>
              </w:rPr>
              <w:t>2.2  Developed Design (Deliverable B)</w:t>
            </w:r>
          </w:p>
        </w:tc>
        <w:tc>
          <w:tcPr>
            <w:tcW w:type="dxa" w:w="1361"/>
          </w:tcPr>
          <w:p>
            <w:pPr>
              <w:spacing w:after="40"/>
            </w:pPr>
            <w:r>
              <w:rPr>
                <w:sz w:val="17"/>
              </w:rPr>
            </w:r>
            <w:r>
              <w:rPr>
                <w:b w:val="0"/>
                <w:sz w:val="17"/>
              </w:rPr>
              <w:t>300</w:t>
            </w:r>
          </w:p>
        </w:tc>
        <w:tc>
          <w:tcPr>
            <w:tcW w:type="dxa" w:w="2835"/>
          </w:tcPr>
          <w:p>
            <w:pPr>
              <w:spacing w:after="40"/>
            </w:pPr>
            <w:r>
              <w:rPr>
                <w:sz w:val="17"/>
              </w:rPr>
            </w:r>
            <w:r>
              <w:rPr>
                <w:b w:val="0"/>
                <w:sz w:val="17"/>
              </w:rPr>
              <w:t>Discipline data and classification</w:t>
            </w:r>
          </w:p>
        </w:tc>
        <w:tc>
          <w:tcPr>
            <w:tcW w:type="dxa" w:w="2381"/>
          </w:tcPr>
          <w:p>
            <w:pPr>
              <w:spacing w:after="40"/>
            </w:pPr>
            <w:r>
              <w:rPr>
                <w:sz w:val="17"/>
              </w:rPr>
            </w:r>
            <w:r>
              <w:rPr>
                <w:b w:val="0"/>
                <w:sz w:val="17"/>
              </w:rPr>
              <w:t>50% drawing set, schedules</w:t>
            </w:r>
          </w:p>
        </w:tc>
      </w:tr>
      <w:tr>
        <w:tc>
          <w:tcPr>
            <w:tcW w:type="dxa" w:w="2835"/>
          </w:tcPr>
          <w:p>
            <w:pPr>
              <w:spacing w:after="40"/>
            </w:pPr>
            <w:r>
              <w:rPr>
                <w:sz w:val="17"/>
              </w:rPr>
            </w:r>
            <w:r>
              <w:rPr>
                <w:b w:val="0"/>
                <w:sz w:val="17"/>
              </w:rPr>
              <w:t>2.3  Technical Design (Deliverable C)</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Full specification data</w:t>
            </w:r>
          </w:p>
        </w:tc>
        <w:tc>
          <w:tcPr>
            <w:tcW w:type="dxa" w:w="2381"/>
          </w:tcPr>
          <w:p>
            <w:pPr>
              <w:spacing w:after="40"/>
            </w:pPr>
            <w:r>
              <w:rPr>
                <w:sz w:val="17"/>
              </w:rPr>
            </w:r>
            <w:r>
              <w:rPr>
                <w:b w:val="0"/>
                <w:sz w:val="17"/>
              </w:rPr>
              <w:t>100% set, bill of quantities</w:t>
            </w:r>
          </w:p>
        </w:tc>
      </w:tr>
      <w:tr>
        <w:tc>
          <w:tcPr>
            <w:tcW w:type="dxa" w:w="2835"/>
          </w:tcPr>
          <w:p>
            <w:pPr>
              <w:spacing w:after="40"/>
            </w:pPr>
            <w:r>
              <w:rPr>
                <w:sz w:val="17"/>
              </w:rPr>
            </w:r>
            <w:r>
              <w:rPr>
                <w:b w:val="0"/>
                <w:sz w:val="17"/>
              </w:rPr>
              <w:t>2.5  Conformed set</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As Deliverable C, incorporating addenda</w:t>
            </w:r>
          </w:p>
        </w:tc>
        <w:tc>
          <w:tcPr>
            <w:tcW w:type="dxa" w:w="2381"/>
          </w:tcPr>
          <w:p>
            <w:pPr>
              <w:spacing w:after="40"/>
            </w:pPr>
            <w:r>
              <w:rPr>
                <w:sz w:val="17"/>
              </w:rPr>
            </w:r>
            <w:r>
              <w:rPr>
                <w:b w:val="0"/>
                <w:sz w:val="17"/>
              </w:rPr>
              <w:t>Conformed drawing set</w:t>
            </w:r>
          </w:p>
        </w:tc>
      </w:tr>
      <w:tr>
        <w:tc>
          <w:tcPr>
            <w:tcW w:type="dxa" w:w="2835"/>
          </w:tcPr>
          <w:p>
            <w:pPr>
              <w:spacing w:after="40"/>
            </w:pPr>
            <w:r>
              <w:rPr>
                <w:sz w:val="17"/>
              </w:rPr>
            </w:r>
            <w:r>
              <w:rPr>
                <w:b w:val="0"/>
                <w:sz w:val="17"/>
              </w:rPr>
              <w:t>3.1  Construction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Manufacturer and installation data</w:t>
            </w:r>
          </w:p>
        </w:tc>
        <w:tc>
          <w:tcPr>
            <w:tcW w:type="dxa" w:w="2381"/>
          </w:tcPr>
          <w:p>
            <w:pPr>
              <w:spacing w:after="40"/>
            </w:pPr>
            <w:r>
              <w:rPr>
                <w:sz w:val="17"/>
              </w:rPr>
            </w:r>
            <w:r>
              <w:rPr>
                <w:b w:val="0"/>
                <w:sz w:val="17"/>
              </w:rPr>
              <w:t>Shop and fabrication information</w:t>
            </w:r>
          </w:p>
        </w:tc>
      </w:tr>
      <w:tr>
        <w:tc>
          <w:tcPr>
            <w:tcW w:type="dxa" w:w="2835"/>
          </w:tcPr>
          <w:p>
            <w:pPr>
              <w:spacing w:after="40"/>
            </w:pPr>
            <w:r>
              <w:rPr>
                <w:sz w:val="17"/>
              </w:rPr>
            </w:r>
            <w:r>
              <w:rPr>
                <w:b w:val="0"/>
                <w:sz w:val="17"/>
              </w:rPr>
              <w:t>3.2  FF&amp;E installation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FF&amp;E and finishes data</w:t>
            </w:r>
          </w:p>
        </w:tc>
        <w:tc>
          <w:tcPr>
            <w:tcW w:type="dxa" w:w="2381"/>
          </w:tcPr>
          <w:p>
            <w:pPr>
              <w:spacing w:after="40"/>
            </w:pPr>
            <w:r>
              <w:rPr>
                <w:sz w:val="17"/>
              </w:rPr>
            </w:r>
            <w:r>
              <w:rPr>
                <w:b w:val="0"/>
                <w:sz w:val="17"/>
              </w:rPr>
              <w:t>FF&amp;E schedules and specifications</w:t>
            </w:r>
          </w:p>
        </w:tc>
      </w:tr>
      <w:tr>
        <w:tc>
          <w:tcPr>
            <w:tcW w:type="dxa" w:w="2835"/>
          </w:tcPr>
          <w:p>
            <w:pPr>
              <w:spacing w:after="40"/>
            </w:pPr>
            <w:r>
              <w:rPr>
                <w:sz w:val="17"/>
              </w:rPr>
            </w:r>
            <w:r>
              <w:rPr>
                <w:b w:val="0"/>
                <w:sz w:val="17"/>
              </w:rPr>
              <w:t>3.3  Close-out (Deliverable D)</w:t>
            </w:r>
          </w:p>
        </w:tc>
        <w:tc>
          <w:tcPr>
            <w:tcW w:type="dxa" w:w="1361"/>
          </w:tcPr>
          <w:p>
            <w:pPr>
              <w:spacing w:after="40"/>
            </w:pPr>
            <w:r>
              <w:rPr>
                <w:sz w:val="17"/>
              </w:rPr>
            </w:r>
            <w:r>
              <w:rPr>
                <w:b w:val="0"/>
                <w:sz w:val="17"/>
              </w:rPr>
              <w:t>500</w:t>
            </w:r>
          </w:p>
        </w:tc>
        <w:tc>
          <w:tcPr>
            <w:tcW w:type="dxa" w:w="2835"/>
          </w:tcPr>
          <w:p>
            <w:pPr>
              <w:spacing w:after="40"/>
            </w:pPr>
            <w:r>
              <w:rPr>
                <w:sz w:val="17"/>
              </w:rPr>
            </w:r>
            <w:r>
              <w:rPr>
                <w:b w:val="0"/>
                <w:sz w:val="17"/>
              </w:rPr>
              <w:t>Verified as-built data, including asset data</w:t>
            </w:r>
          </w:p>
        </w:tc>
        <w:tc>
          <w:tcPr>
            <w:tcW w:type="dxa" w:w="2381"/>
          </w:tcPr>
          <w:p>
            <w:pPr>
              <w:spacing w:after="40"/>
            </w:pPr>
            <w:r>
              <w:rPr>
                <w:sz w:val="17"/>
              </w:rPr>
            </w:r>
            <w:r>
              <w:rPr>
                <w:b w:val="0"/>
                <w:sz w:val="17"/>
              </w:rPr>
              <w:t>Handover data, operation and maintenance information, as-built drawings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 OF DEVELOPMENT AT CLOSE-OUT</w:t>
            </w:r>
          </w:p>
          <w:p>
            <w:r>
              <w:rPr>
                <w:b w:val="0"/>
                <w:sz w:val="19"/>
              </w:rPr>
              <w:t>Deliverable D is delivered at LOD 500. LOD 500 requires verification that each element corresponds to the element installed, together with its asset data. For serviceable plant this includes serial number and installation date, captured progressively during Stage 3.1.</w:t>
            </w:r>
          </w:p>
        </w:tc>
      </w:tr>
    </w:tbl>
    <w:p>
      <w:pPr>
        <w:spacing w:after="40"/>
      </w:pPr>
    </w:p>
    <w:p>
      <w:r>
        <w:br w:type="page"/>
      </w:r>
    </w:p>
    <w:p>
      <w:pPr>
        <w:pStyle w:val="Heading1"/>
        <w:pBdr>
          <w:bottom w:val="single" w:sz="8" w:space="4" w:color="1F3654"/>
        </w:pBdr>
      </w:pPr>
      <w:r>
        <w:t>4  Standards, methods and procedures</w:t>
      </w:r>
    </w:p>
    <w:p>
      <w:pPr>
        <w:pStyle w:val="Heading2"/>
      </w:pPr>
      <w:r>
        <w:t>4.1  Standards adopted</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Topic</w:t>
            </w:r>
          </w:p>
        </w:tc>
        <w:tc>
          <w:tcPr>
            <w:tcW w:type="dxa" w:w="7143"/>
            <w:shd w:val="clear" w:fill="E8EDF3"/>
          </w:tcPr>
          <w:p>
            <w:r/>
            <w:r>
              <w:rPr>
                <w:b/>
                <w:color w:val="1F3654"/>
                <w:sz w:val="17"/>
              </w:rPr>
              <w:t>Standard</w:t>
            </w:r>
          </w:p>
        </w:tc>
      </w:tr>
      <w:tr>
        <w:tc>
          <w:tcPr>
            <w:tcW w:type="dxa" w:w="2268"/>
          </w:tcPr>
          <w:p>
            <w:pPr>
              <w:spacing w:after="40"/>
            </w:pPr>
            <w:r>
              <w:rPr>
                <w:sz w:val="17"/>
              </w:rPr>
            </w:r>
            <w:r>
              <w:rPr>
                <w:b w:val="0"/>
                <w:sz w:val="17"/>
              </w:rPr>
              <w:t>Information management</w:t>
            </w:r>
          </w:p>
        </w:tc>
        <w:tc>
          <w:tcPr>
            <w:tcW w:type="dxa" w:w="7143"/>
          </w:tcPr>
          <w:p>
            <w:pPr>
              <w:spacing w:after="40"/>
            </w:pPr>
            <w:r>
              <w:rPr>
                <w:sz w:val="17"/>
              </w:rPr>
            </w:r>
            <w:r>
              <w:rPr>
                <w:b w:val="0"/>
                <w:sz w:val="17"/>
              </w:rPr>
              <w:t>BS EN ISO 19650-1, -2, -3 and -5</w:t>
            </w:r>
          </w:p>
        </w:tc>
      </w:tr>
      <w:tr>
        <w:tc>
          <w:tcPr>
            <w:tcW w:type="dxa" w:w="2268"/>
          </w:tcPr>
          <w:p>
            <w:pPr>
              <w:spacing w:after="40"/>
            </w:pPr>
            <w:r>
              <w:rPr>
                <w:sz w:val="17"/>
              </w:rPr>
            </w:r>
            <w:r>
              <w:rPr>
                <w:b w:val="0"/>
                <w:sz w:val="17"/>
              </w:rPr>
              <w:t>Classification</w:t>
            </w:r>
          </w:p>
        </w:tc>
        <w:tc>
          <w:tcPr>
            <w:tcW w:type="dxa" w:w="7143"/>
          </w:tcPr>
          <w:p>
            <w:pPr>
              <w:spacing w:after="40"/>
            </w:pPr>
            <w:r>
              <w:rPr>
                <w:sz w:val="17"/>
              </w:rPr>
            </w:r>
            <w:r>
              <w:rPr>
                <w:b w:val="0"/>
                <w:sz w:val="17"/>
              </w:rPr>
              <w:t>CSI MasterFormat, as the specifications are produced in RIB SpecLink. Demolition (Division 02) is classified manually — see Section 10.3</w:t>
            </w:r>
          </w:p>
        </w:tc>
      </w:tr>
      <w:tr>
        <w:tc>
          <w:tcPr>
            <w:tcW w:type="dxa" w:w="2268"/>
          </w:tcPr>
          <w:p>
            <w:pPr>
              <w:spacing w:after="40"/>
            </w:pPr>
            <w:r>
              <w:rPr>
                <w:sz w:val="17"/>
              </w:rPr>
            </w:r>
            <w:r>
              <w:rPr>
                <w:b w:val="0"/>
                <w:sz w:val="17"/>
              </w:rPr>
              <w:t>Container naming</w:t>
            </w:r>
          </w:p>
        </w:tc>
        <w:tc>
          <w:tcPr>
            <w:tcW w:type="dxa" w:w="7143"/>
          </w:tcPr>
          <w:p>
            <w:pPr>
              <w:spacing w:after="40"/>
            </w:pPr>
            <w:r>
              <w:rPr>
                <w:sz w:val="17"/>
              </w:rPr>
            </w:r>
            <w:r>
              <w:rPr>
                <w:b w:val="0"/>
                <w:sz w:val="17"/>
              </w:rPr>
              <w:t>ISO 19650 field-based convention — see Section 4.2</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[FILL — NRM2 or other]</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w:t>
            </w:r>
          </w:p>
        </w:tc>
      </w:tr>
      <w:tr>
        <w:tc>
          <w:tcPr>
            <w:tcW w:type="dxa" w:w="2268"/>
          </w:tcPr>
          <w:p>
            <w:pPr>
              <w:spacing w:after="40"/>
            </w:pPr>
            <w:r>
              <w:rPr>
                <w:sz w:val="17"/>
              </w:rPr>
            </w:r>
            <w:r>
              <w:rPr>
                <w:b w:val="0"/>
                <w:sz w:val="17"/>
              </w:rPr>
              <w:t>Security</w:t>
            </w:r>
          </w:p>
        </w:tc>
        <w:tc>
          <w:tcPr>
            <w:tcW w:type="dxa" w:w="7143"/>
          </w:tcPr>
          <w:p>
            <w:pPr>
              <w:spacing w:after="40"/>
            </w:pPr>
            <w:r>
              <w:rPr>
                <w:sz w:val="17"/>
              </w:rPr>
            </w:r>
            <w:r>
              <w:rPr>
                <w:b w:val="0"/>
                <w:sz w:val="17"/>
              </w:rPr>
              <w:t>BS EN ISO 19650-5 — see Section 8</w:t>
            </w:r>
          </w:p>
        </w:tc>
      </w:tr>
    </w:tbl>
    <w:p>
      <w:pPr>
        <w:spacing w:after="40"/>
      </w:pPr>
    </w:p>
    <w:p>
      <w:pPr>
        <w:pStyle w:val="Heading2"/>
      </w:pPr>
      <w:r>
        <w:t>4.2  Container naming convention</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[FILL — 3, subject to Section 4.2.1]</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to 06 per Section 1.3; 00 site-wide; ZZ all volumes</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GF, 01 upward, RF,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M3, M2, DR, SH, SC, SP, RP, CA, RD, MS, PP, CR</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S, M, E, P, FP, LV, G.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p>
      <w:pPr>
        <w:pStyle w:val="Heading3"/>
      </w:pPr>
      <w:r>
        <w:t>4.2.1  Originator code length — to be confirmed</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val="0"/>
                <w:sz w:val="19"/>
              </w:rPr>
              <w:t xml:space="preserve">The automated compliance check enforces an originator code of exactly three characters. The Information Manager default code is four characters. Two options are available: issue three-character codes to every organisation, or extend the permitted range to three to six characters, which is closer to general ISO 19650 practice. The Appointing Party originator register determines which applies. </w:t>
            </w:r>
            <w:r>
              <w:rPr>
                <w:b/>
                <w:sz w:val="19"/>
              </w:rPr>
              <w:t>No container is to be numbered until this is confirmed</w:t>
            </w:r>
            <w:r>
              <w:rPr>
                <w:b w:val="0"/>
                <w:sz w:val="19"/>
              </w:rPr>
              <w:t>, because renumbering after Deliverable A affects every issued document.</w:t>
            </w:r>
          </w:p>
        </w:tc>
      </w:tr>
    </w:tbl>
    <w:p>
      <w:pPr>
        <w:spacing w:after="40"/>
      </w:pPr>
    </w:p>
    <w:p>
      <w:pPr>
        <w:pStyle w:val="Heading3"/>
      </w:pPr>
      <w:r>
        <w:t>4.2.2  Role code and asset discipline code</w:t>
      </w:r>
    </w:p>
    <w:p>
      <w:r>
        <w:rPr>
          <w:b w:val="0"/>
          <w:i w:val="0"/>
        </w:rPr>
        <w:t>The role field in a container name and the discipline field in an asset identifier are distinct. Container role codes may include Z for federated and multi-discipline containers. Asset discipline codes are limited to the eight discipline codes and are validated on every element.</w:t>
      </w:r>
    </w:p>
    <w:p>
      <w:pPr>
        <w:pStyle w:val="Heading2"/>
      </w:pPr>
      <w:r>
        <w:t>4.3  Common Data Environment states and suitability</w:t>
      </w:r>
    </w:p>
    <w:p>
      <w:r>
        <w:rPr>
          <w:b w:val="0"/>
          <w:i w:val="0"/>
        </w:rPr>
        <w:t>WIP  →  Shared  →  Published  →  Archived. Revisions run P01 upward while preliminary and C01 upward once contractual.</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4.4  Modelling standards</w:t>
      </w:r>
    </w:p>
    <w:p>
      <w:pPr>
        <w:spacing w:after="60"/>
        <w:ind w:left="340"/>
      </w:pPr>
      <w:r>
        <w:rPr>
          <w:b/>
        </w:rPr>
        <w:t xml:space="preserve">• </w:t>
      </w:r>
      <w:r>
        <w:rPr>
          <w:b w:val="0"/>
        </w:rPr>
        <w:t>The shared coordinate system, project base point and true north are defined at mobilisation and are not altered thereafter.</w:t>
      </w:r>
    </w:p>
    <w:p>
      <w:pPr>
        <w:spacing w:after="60"/>
        <w:ind w:left="340"/>
      </w:pPr>
      <w:r>
        <w:rPr>
          <w:b/>
        </w:rPr>
        <w:t xml:space="preserve">• </w:t>
      </w:r>
      <w:r>
        <w:rPr>
          <w:b w:val="0"/>
        </w:rPr>
        <w:t>Units are millimetres. Level and grid names are taken from the issued project template.</w:t>
      </w:r>
    </w:p>
    <w:p>
      <w:pPr>
        <w:spacing w:after="60"/>
        <w:ind w:left="340"/>
      </w:pPr>
      <w:r>
        <w:rPr>
          <w:b/>
        </w:rPr>
        <w:t xml:space="preserve">• </w:t>
      </w:r>
      <w:r>
        <w:rPr>
          <w:b w:val="0"/>
        </w:rPr>
        <w:t>Content originates from the controlled family library. Imported CAD may be used as an underlay only and must not constitute deliverable geometry.</w:t>
      </w:r>
    </w:p>
    <w:p>
      <w:pPr>
        <w:spacing w:after="60"/>
        <w:ind w:left="340"/>
      </w:pPr>
      <w:r>
        <w:rPr>
          <w:b/>
        </w:rPr>
        <w:t xml:space="preserve">• </w:t>
      </w:r>
      <w:r>
        <w:rPr>
          <w:b w:val="0"/>
        </w:rPr>
        <w:t>Worksets follow the convention confirmed at mobilisation: per-volume worksets, or one model per volume.</w:t>
      </w:r>
    </w:p>
    <w:p>
      <w:pPr>
        <w:spacing w:after="60"/>
        <w:ind w:left="340"/>
      </w:pPr>
      <w:r>
        <w:rPr>
          <w:b/>
        </w:rPr>
        <w:t xml:space="preserve">• </w:t>
      </w:r>
      <w:r>
        <w:rPr>
          <w:b w:val="0"/>
        </w:rPr>
        <w:t>Rooms are placed and named before the first coordination share.</w:t>
      </w:r>
    </w:p>
    <w:p>
      <w:pPr>
        <w:spacing w:after="60"/>
        <w:ind w:left="340"/>
      </w:pPr>
      <w:r>
        <w:rPr>
          <w:b/>
        </w:rPr>
        <w:t xml:space="preserve">• </w:t>
      </w:r>
      <w:r>
        <w:rPr>
          <w:b w:val="0"/>
        </w:rPr>
        <w:t>Mechanical, electrical and plumbing elements are connected into real systems.</w:t>
      </w:r>
    </w:p>
    <w:p>
      <w:pPr>
        <w:spacing w:after="60"/>
        <w:ind w:left="340"/>
      </w:pPr>
      <w:r>
        <w:rPr>
          <w:b/>
        </w:rPr>
        <w:t xml:space="preserve">• </w:t>
      </w:r>
      <w:r>
        <w:rPr>
          <w:b w:val="0"/>
        </w:rPr>
        <w:t>Data completeness is verified before every share.</w:t>
      </w:r>
    </w:p>
    <w:p>
      <w:pPr>
        <w:spacing w:after="60"/>
        <w:ind w:left="340"/>
      </w:pPr>
      <w:r>
        <w:rPr>
          <w:b/>
        </w:rPr>
        <w:t xml:space="preserve">• </w:t>
      </w:r>
      <w:r>
        <w:rPr>
          <w:b w:val="0"/>
        </w:rPr>
        <w:t>No unresolved high priority clashes at any data drop.</w:t>
      </w:r>
    </w:p>
    <w:p>
      <w:r>
        <w:br w:type="page"/>
      </w:r>
    </w:p>
    <w:p>
      <w:pPr>
        <w:pStyle w:val="Heading1"/>
        <w:pBdr>
          <w:bottom w:val="single" w:sz="8" w:space="4" w:color="1F3654"/>
        </w:pBdr>
      </w:pPr>
      <w:r>
        <w:t>5  Common Data Environment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Platform</w:t>
            </w:r>
          </w:p>
        </w:tc>
        <w:tc>
          <w:tcPr>
            <w:tcW w:type="dxa" w:w="7483"/>
          </w:tcPr>
          <w:p>
            <w:pPr>
              <w:spacing w:after="40"/>
            </w:pPr>
            <w:r>
              <w:rPr>
                <w:sz w:val="17"/>
              </w:rPr>
            </w:r>
            <w:r>
              <w:rPr>
                <w:b w:val="0"/>
                <w:sz w:val="17"/>
              </w:rPr>
              <w:t>Autodesk Construction Cloud. This is the single authoritative environment for project information. No other environment holds project information of record</w:t>
            </w:r>
          </w:p>
        </w:tc>
      </w:tr>
      <w:tr>
        <w:tc>
          <w:tcPr>
            <w:tcW w:type="dxa" w:w="1928"/>
          </w:tcPr>
          <w:p>
            <w:pPr>
              <w:spacing w:after="40"/>
            </w:pPr>
            <w:r>
              <w:rPr>
                <w:sz w:val="17"/>
              </w:rPr>
            </w:r>
            <w:r>
              <w:rPr>
                <w:b w:val="0"/>
                <w:sz w:val="17"/>
              </w:rPr>
              <w:t>Structure</w:t>
            </w:r>
          </w:p>
        </w:tc>
        <w:tc>
          <w:tcPr>
            <w:tcW w:type="dxa" w:w="7483"/>
          </w:tcPr>
          <w:p>
            <w:pPr>
              <w:spacing w:after="40"/>
            </w:pPr>
            <w:r>
              <w:rPr>
                <w:sz w:val="17"/>
              </w:rPr>
            </w:r>
            <w:r>
              <w:rPr>
                <w:b w:val="0"/>
                <w:sz w:val="17"/>
              </w:rPr>
              <w:t>WIP, Shared, Published and Archived, divided by volume and discipline</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on the principle of least privilege, in accordance with Section 8</w:t>
            </w:r>
          </w:p>
        </w:tc>
      </w:tr>
      <w:tr>
        <w:tc>
          <w:tcPr>
            <w:tcW w:type="dxa" w:w="1928"/>
          </w:tcPr>
          <w:p>
            <w:pPr>
              <w:spacing w:after="40"/>
            </w:pPr>
            <w:r>
              <w:rPr>
                <w:sz w:val="17"/>
              </w:rPr>
            </w:r>
            <w:r>
              <w:rPr>
                <w:b w:val="0"/>
                <w:sz w:val="17"/>
              </w:rPr>
              <w:t>Issue and approval</w:t>
            </w:r>
          </w:p>
        </w:tc>
        <w:tc>
          <w:tcPr>
            <w:tcW w:type="dxa" w:w="7483"/>
          </w:tcPr>
          <w:p>
            <w:pPr>
              <w:spacing w:after="40"/>
            </w:pPr>
            <w:r>
              <w:rPr>
                <w:sz w:val="17"/>
              </w:rPr>
            </w:r>
            <w:r>
              <w:rPr>
                <w:b w:val="0"/>
                <w:sz w:val="17"/>
              </w:rPr>
              <w:t>ACC Issues and Reviews. Coordination issues are exchanged in BCF format</w:t>
            </w:r>
          </w:p>
        </w:tc>
      </w:tr>
      <w:tr>
        <w:tc>
          <w:tcPr>
            <w:tcW w:type="dxa" w:w="1928"/>
          </w:tcPr>
          <w:p>
            <w:pPr>
              <w:spacing w:after="40"/>
            </w:pPr>
            <w:r>
              <w:rPr>
                <w:sz w:val="17"/>
              </w:rPr>
            </w:r>
            <w:r>
              <w:rPr>
                <w:b w:val="0"/>
                <w:sz w:val="17"/>
              </w:rPr>
              <w:t>Transmittals</w:t>
            </w:r>
          </w:p>
        </w:tc>
        <w:tc>
          <w:tcPr>
            <w:tcW w:type="dxa" w:w="7483"/>
          </w:tcPr>
          <w:p>
            <w:pPr>
              <w:spacing w:after="40"/>
            </w:pPr>
            <w:r>
              <w:rPr>
                <w:sz w:val="17"/>
              </w:rPr>
            </w:r>
            <w:r>
              <w:rPr>
                <w:b w:val="0"/>
                <w:sz w:val="17"/>
              </w:rPr>
              <w:t>A formal transmittal records every issue of information</w:t>
            </w:r>
          </w:p>
        </w:tc>
      </w:tr>
      <w:tr>
        <w:tc>
          <w:tcPr>
            <w:tcW w:type="dxa" w:w="1928"/>
          </w:tcPr>
          <w:p>
            <w:pPr>
              <w:spacing w:after="40"/>
            </w:pPr>
            <w:r>
              <w:rPr>
                <w:sz w:val="17"/>
              </w:rPr>
            </w:r>
            <w:r>
              <w:rPr>
                <w:b w:val="0"/>
                <w:sz w:val="17"/>
              </w:rPr>
              <w:t>Review</w:t>
            </w:r>
          </w:p>
        </w:tc>
        <w:tc>
          <w:tcPr>
            <w:tcW w:type="dxa" w:w="7483"/>
          </w:tcPr>
          <w:p>
            <w:pPr>
              <w:spacing w:after="40"/>
            </w:pPr>
            <w:r>
              <w:rPr>
                <w:sz w:val="17"/>
              </w:rPr>
            </w:r>
            <w:r>
              <w:rPr>
                <w:b w:val="0"/>
                <w:sz w:val="17"/>
              </w:rPr>
              <w:t>Bluebeam Studio sessions for Appointing Party review. Comment close-out is a gate condition</w:t>
            </w:r>
          </w:p>
        </w:tc>
      </w:tr>
      <w:tr>
        <w:tc>
          <w:tcPr>
            <w:tcW w:type="dxa" w:w="1928"/>
          </w:tcPr>
          <w:p>
            <w:pPr>
              <w:spacing w:after="40"/>
            </w:pPr>
            <w:r>
              <w:rPr>
                <w:sz w:val="17"/>
              </w:rPr>
            </w:r>
            <w:r>
              <w:rPr>
                <w:b w:val="0"/>
                <w:sz w:val="17"/>
              </w:rPr>
              <w:t>Backup and retention</w:t>
            </w:r>
          </w:p>
        </w:tc>
        <w:tc>
          <w:tcPr>
            <w:tcW w:type="dxa" w:w="7483"/>
          </w:tcPr>
          <w:p>
            <w:pPr>
              <w:spacing w:after="40"/>
            </w:pPr>
            <w:r>
              <w:rPr>
                <w:sz w:val="17"/>
              </w:rPr>
            </w:r>
            <w:r>
              <w:rPr>
                <w:b w:val="0"/>
                <w:sz w:val="17"/>
              </w:rPr>
              <w:t>[FILL — retention period and archive arrangements]</w:t>
            </w:r>
          </w:p>
        </w:tc>
      </w:tr>
    </w:tbl>
    <w:p>
      <w:pPr>
        <w:spacing w:after="40"/>
      </w:pPr>
    </w:p>
    <w:p>
      <w:r>
        <w:br w:type="page"/>
      </w:r>
    </w:p>
    <w:p>
      <w:pPr>
        <w:pStyle w:val="Heading1"/>
        <w:pBdr>
          <w:bottom w:val="single" w:sz="8" w:space="4" w:color="1F3654"/>
        </w:pBdr>
      </w:pPr>
      <w:r>
        <w:t>6  Software, exchange formats and coordinate system</w:t>
      </w:r>
    </w:p>
    <w:p>
      <w:pPr>
        <w:pStyle w:val="Heading2"/>
      </w:pPr>
      <w:r>
        <w:t>6.1  Software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Function</w:t>
            </w:r>
          </w:p>
        </w:tc>
        <w:tc>
          <w:tcPr>
            <w:tcW w:type="dxa" w:w="3742"/>
            <w:shd w:val="clear" w:fill="E8EDF3"/>
          </w:tcPr>
          <w:p>
            <w:r/>
            <w:r>
              <w:rPr>
                <w:b/>
                <w:color w:val="1F3654"/>
                <w:sz w:val="17"/>
              </w:rPr>
              <w:t>Software</w:t>
            </w:r>
          </w:p>
        </w:tc>
        <w:tc>
          <w:tcPr>
            <w:tcW w:type="dxa" w:w="2835"/>
            <w:shd w:val="clear" w:fill="E8EDF3"/>
          </w:tcPr>
          <w:p>
            <w:r/>
            <w:r>
              <w:rPr>
                <w:b/>
                <w:color w:val="1F3654"/>
                <w:sz w:val="17"/>
              </w:rPr>
              <w:t>Version</w:t>
            </w:r>
          </w:p>
        </w:tc>
      </w:tr>
      <w:tr>
        <w:tc>
          <w:tcPr>
            <w:tcW w:type="dxa" w:w="2835"/>
          </w:tcPr>
          <w:p>
            <w:pPr>
              <w:spacing w:after="40"/>
            </w:pPr>
            <w:r>
              <w:rPr>
                <w:sz w:val="17"/>
              </w:rPr>
            </w:r>
            <w:r>
              <w:rPr>
                <w:b w:val="0"/>
                <w:sz w:val="17"/>
              </w:rPr>
              <w:t>Model authoring</w:t>
            </w:r>
          </w:p>
        </w:tc>
        <w:tc>
          <w:tcPr>
            <w:tcW w:type="dxa" w:w="3742"/>
          </w:tcPr>
          <w:p>
            <w:pPr>
              <w:spacing w:after="40"/>
            </w:pPr>
            <w:r>
              <w:rPr>
                <w:sz w:val="17"/>
              </w:rPr>
            </w:r>
            <w:r>
              <w:rPr>
                <w:b w:val="0"/>
                <w:sz w:val="17"/>
              </w:rPr>
              <w:t>Autodesk Revit</w:t>
            </w:r>
          </w:p>
        </w:tc>
        <w:tc>
          <w:tcPr>
            <w:tcW w:type="dxa" w:w="2835"/>
          </w:tcPr>
          <w:p>
            <w:pPr>
              <w:spacing w:after="40"/>
            </w:pPr>
            <w:r>
              <w:rPr>
                <w:sz w:val="17"/>
              </w:rPr>
            </w:r>
            <w:r>
              <w:rPr>
                <w:b w:val="0"/>
                <w:sz w:val="17"/>
              </w:rPr>
              <w:t>[FILL — a single version is used across the project]</w:t>
            </w:r>
          </w:p>
        </w:tc>
      </w:tr>
      <w:tr>
        <w:tc>
          <w:tcPr>
            <w:tcW w:type="dxa" w:w="2835"/>
          </w:tcPr>
          <w:p>
            <w:pPr>
              <w:spacing w:after="40"/>
            </w:pPr>
            <w:r>
              <w:rPr>
                <w:sz w:val="17"/>
              </w:rPr>
            </w:r>
            <w:r>
              <w:rPr>
                <w:b w:val="0"/>
                <w:sz w:val="17"/>
              </w:rPr>
              <w:t>Common Data Environment</w:t>
            </w:r>
          </w:p>
        </w:tc>
        <w:tc>
          <w:tcPr>
            <w:tcW w:type="dxa" w:w="3742"/>
          </w:tcPr>
          <w:p>
            <w:pPr>
              <w:spacing w:after="40"/>
            </w:pPr>
            <w:r>
              <w:rPr>
                <w:sz w:val="17"/>
              </w:rPr>
            </w:r>
            <w:r>
              <w:rPr>
                <w:b w:val="0"/>
                <w:sz w:val="17"/>
              </w:rPr>
              <w:t>Autodesk Construction Cloud</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Coordination and clash detection</w:t>
            </w:r>
          </w:p>
        </w:tc>
        <w:tc>
          <w:tcPr>
            <w:tcW w:type="dxa" w:w="3742"/>
          </w:tcPr>
          <w:p>
            <w:pPr>
              <w:spacing w:after="40"/>
            </w:pPr>
            <w:r>
              <w:rPr>
                <w:sz w:val="17"/>
              </w:rPr>
            </w:r>
            <w:r>
              <w:rPr>
                <w:b w:val="0"/>
                <w:sz w:val="17"/>
              </w:rPr>
              <w:t>Navisworks and ACC Model Coordination</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Design review</w:t>
            </w:r>
          </w:p>
        </w:tc>
        <w:tc>
          <w:tcPr>
            <w:tcW w:type="dxa" w:w="3742"/>
          </w:tcPr>
          <w:p>
            <w:pPr>
              <w:spacing w:after="40"/>
            </w:pPr>
            <w:r>
              <w:rPr>
                <w:sz w:val="17"/>
              </w:rPr>
            </w:r>
            <w:r>
              <w:rPr>
                <w:b w:val="0"/>
                <w:sz w:val="17"/>
              </w:rPr>
              <w:t>Bluebeam Studio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FF&amp;E, finishes and O&amp;M</w:t>
            </w:r>
          </w:p>
        </w:tc>
        <w:tc>
          <w:tcPr>
            <w:tcW w:type="dxa" w:w="3742"/>
          </w:tcPr>
          <w:p>
            <w:pPr>
              <w:spacing w:after="40"/>
            </w:pPr>
            <w:r>
              <w:rPr>
                <w:sz w:val="17"/>
              </w:rPr>
            </w:r>
            <w:r>
              <w:rPr>
                <w:b w:val="0"/>
                <w:sz w:val="17"/>
              </w:rPr>
              <w:t>Fohlio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Specifications</w:t>
            </w:r>
          </w:p>
        </w:tc>
        <w:tc>
          <w:tcPr>
            <w:tcW w:type="dxa" w:w="3742"/>
          </w:tcPr>
          <w:p>
            <w:pPr>
              <w:spacing w:after="40"/>
            </w:pPr>
            <w:r>
              <w:rPr>
                <w:sz w:val="17"/>
              </w:rPr>
            </w:r>
            <w:r>
              <w:rPr>
                <w:b w:val="0"/>
                <w:sz w:val="17"/>
              </w:rPr>
              <w:t>RIB SpecLink</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Building management system</w:t>
            </w:r>
          </w:p>
        </w:tc>
        <w:tc>
          <w:tcPr>
            <w:tcW w:type="dxa" w:w="3742"/>
          </w:tcPr>
          <w:p>
            <w:pPr>
              <w:spacing w:after="40"/>
            </w:pPr>
            <w:r>
              <w:rPr>
                <w:sz w:val="17"/>
              </w:rPr>
            </w:r>
            <w:r>
              <w:rPr>
                <w:b w:val="0"/>
                <w:sz w:val="17"/>
              </w:rPr>
              <w:t>Tridium Niagara</w:t>
            </w:r>
          </w:p>
        </w:tc>
        <w:tc>
          <w:tcPr>
            <w:tcW w:type="dxa" w:w="2835"/>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VERSION CONTROL</w:t>
            </w:r>
          </w:p>
          <w:p>
            <w:r>
              <w:rPr>
                <w:b w:val="0"/>
                <w:sz w:val="19"/>
              </w:rPr>
              <w:t>All parties author in the same major version of Revit for the duration of a stage. Version changes are made only at a stage boundary and only by agreement of the Information Manager, as a version change is not reversible.</w:t>
            </w:r>
          </w:p>
        </w:tc>
      </w:tr>
    </w:tbl>
    <w:p>
      <w:pPr>
        <w:spacing w:after="40"/>
      </w:pPr>
    </w:p>
    <w:p>
      <w:pPr>
        <w:pStyle w:val="Heading2"/>
      </w:pPr>
      <w:r>
        <w:t>6.2  Exchange formats</w:t>
      </w:r>
    </w:p>
    <w:tbl>
      <w:tblPr>
        <w:tblStyle w:val="TableGrid"/>
        <w:tblW w:type="auto" w:w="0"/>
        <w:jc w:val="left"/>
        <w:tblLook w:firstColumn="1" w:firstRow="1" w:lastColumn="0" w:lastRow="0" w:noHBand="0" w:noVBand="1" w:val="04A0"/>
      </w:tblPr>
      <w:tblGrid>
        <w:gridCol w:w="4706"/>
        <w:gridCol w:w="4706"/>
      </w:tblGrid>
      <w:tr>
        <w:trPr>
          <w:tblHeader/>
        </w:trPr>
        <w:tc>
          <w:tcPr>
            <w:tcW w:type="dxa" w:w="3402"/>
            <w:shd w:val="clear" w:fill="E8EDF3"/>
          </w:tcPr>
          <w:p>
            <w:r/>
            <w:r>
              <w:rPr>
                <w:b/>
                <w:color w:val="1F3654"/>
                <w:sz w:val="17"/>
              </w:rPr>
              <w:t>Purpose</w:t>
            </w:r>
          </w:p>
        </w:tc>
        <w:tc>
          <w:tcPr>
            <w:tcW w:type="dxa" w:w="6009"/>
            <w:shd w:val="clear" w:fill="E8EDF3"/>
          </w:tcPr>
          <w:p>
            <w:r/>
            <w:r>
              <w:rPr>
                <w:b/>
                <w:color w:val="1F3654"/>
                <w:sz w:val="17"/>
              </w:rPr>
              <w:t>Format</w:t>
            </w:r>
          </w:p>
        </w:tc>
      </w:tr>
      <w:tr>
        <w:tc>
          <w:tcPr>
            <w:tcW w:type="dxa" w:w="3402"/>
          </w:tcPr>
          <w:p>
            <w:pPr>
              <w:spacing w:after="40"/>
            </w:pPr>
            <w:r>
              <w:rPr>
                <w:sz w:val="17"/>
              </w:rPr>
            </w:r>
            <w:r>
              <w:rPr>
                <w:b w:val="0"/>
                <w:sz w:val="17"/>
              </w:rPr>
              <w:t>Native models</w:t>
            </w:r>
          </w:p>
        </w:tc>
        <w:tc>
          <w:tcPr>
            <w:tcW w:type="dxa" w:w="6009"/>
          </w:tcPr>
          <w:p>
            <w:pPr>
              <w:spacing w:after="40"/>
            </w:pPr>
            <w:r>
              <w:rPr>
                <w:sz w:val="17"/>
              </w:rPr>
            </w:r>
            <w:r>
              <w:rPr>
                <w:b w:val="0"/>
                <w:sz w:val="17"/>
              </w:rPr>
              <w:t>RVT</w:t>
            </w:r>
          </w:p>
        </w:tc>
      </w:tr>
      <w:tr>
        <w:tc>
          <w:tcPr>
            <w:tcW w:type="dxa" w:w="3402"/>
          </w:tcPr>
          <w:p>
            <w:pPr>
              <w:spacing w:after="40"/>
            </w:pPr>
            <w:r>
              <w:rPr>
                <w:sz w:val="17"/>
              </w:rPr>
            </w:r>
            <w:r>
              <w:rPr>
                <w:b w:val="0"/>
                <w:sz w:val="17"/>
              </w:rPr>
              <w:t>Open exchange</w:t>
            </w:r>
          </w:p>
        </w:tc>
        <w:tc>
          <w:tcPr>
            <w:tcW w:type="dxa" w:w="6009"/>
          </w:tcPr>
          <w:p>
            <w:pPr>
              <w:spacing w:after="40"/>
            </w:pPr>
            <w:r>
              <w:rPr>
                <w:sz w:val="17"/>
              </w:rPr>
            </w:r>
            <w:r>
              <w:rPr>
                <w:b w:val="0"/>
                <w:sz w:val="17"/>
              </w:rPr>
              <w:t>IFC [FILL — 2x3 or 4]</w:t>
            </w:r>
          </w:p>
        </w:tc>
      </w:tr>
      <w:tr>
        <w:tc>
          <w:tcPr>
            <w:tcW w:type="dxa" w:w="3402"/>
          </w:tcPr>
          <w:p>
            <w:pPr>
              <w:spacing w:after="40"/>
            </w:pPr>
            <w:r>
              <w:rPr>
                <w:sz w:val="17"/>
              </w:rPr>
            </w:r>
            <w:r>
              <w:rPr>
                <w:b w:val="0"/>
                <w:sz w:val="17"/>
              </w:rPr>
              <w:t>Coordination</w:t>
            </w:r>
          </w:p>
        </w:tc>
        <w:tc>
          <w:tcPr>
            <w:tcW w:type="dxa" w:w="6009"/>
          </w:tcPr>
          <w:p>
            <w:pPr>
              <w:spacing w:after="40"/>
            </w:pPr>
            <w:r>
              <w:rPr>
                <w:sz w:val="17"/>
              </w:rPr>
            </w:r>
            <w:r>
              <w:rPr>
                <w:b w:val="0"/>
                <w:sz w:val="17"/>
              </w:rPr>
              <w:t>NWC, IFC or ACC models</w:t>
            </w:r>
          </w:p>
        </w:tc>
      </w:tr>
      <w:tr>
        <w:tc>
          <w:tcPr>
            <w:tcW w:type="dxa" w:w="3402"/>
          </w:tcPr>
          <w:p>
            <w:pPr>
              <w:spacing w:after="40"/>
            </w:pPr>
            <w:r>
              <w:rPr>
                <w:sz w:val="17"/>
              </w:rPr>
            </w:r>
            <w:r>
              <w:rPr>
                <w:b w:val="0"/>
                <w:sz w:val="17"/>
              </w:rPr>
              <w:t>Drawings</w:t>
            </w:r>
          </w:p>
        </w:tc>
        <w:tc>
          <w:tcPr>
            <w:tcW w:type="dxa" w:w="6009"/>
          </w:tcPr>
          <w:p>
            <w:pPr>
              <w:spacing w:after="40"/>
            </w:pPr>
            <w:r>
              <w:rPr>
                <w:sz w:val="17"/>
              </w:rPr>
            </w:r>
            <w:r>
              <w:rPr>
                <w:b w:val="0"/>
                <w:sz w:val="17"/>
              </w:rPr>
              <w:t>PDF, and DWG where required</w:t>
            </w:r>
          </w:p>
        </w:tc>
      </w:tr>
      <w:tr>
        <w:tc>
          <w:tcPr>
            <w:tcW w:type="dxa" w:w="3402"/>
          </w:tcPr>
          <w:p>
            <w:pPr>
              <w:spacing w:after="40"/>
            </w:pPr>
            <w:r>
              <w:rPr>
                <w:sz w:val="17"/>
              </w:rPr>
            </w:r>
            <w:r>
              <w:rPr>
                <w:b w:val="0"/>
                <w:sz w:val="17"/>
              </w:rPr>
              <w:t>Schedules and quantities</w:t>
            </w:r>
          </w:p>
        </w:tc>
        <w:tc>
          <w:tcPr>
            <w:tcW w:type="dxa" w:w="6009"/>
          </w:tcPr>
          <w:p>
            <w:pPr>
              <w:spacing w:after="40"/>
            </w:pPr>
            <w:r>
              <w:rPr>
                <w:sz w:val="17"/>
              </w:rPr>
            </w:r>
            <w:r>
              <w:rPr>
                <w:b w:val="0"/>
                <w:sz w:val="17"/>
              </w:rPr>
              <w:t>XLSX</w:t>
            </w:r>
          </w:p>
        </w:tc>
      </w:tr>
      <w:tr>
        <w:tc>
          <w:tcPr>
            <w:tcW w:type="dxa" w:w="3402"/>
          </w:tcPr>
          <w:p>
            <w:pPr>
              <w:spacing w:after="40"/>
            </w:pPr>
            <w:r>
              <w:rPr>
                <w:sz w:val="17"/>
              </w:rPr>
            </w:r>
            <w:r>
              <w:rPr>
                <w:b w:val="0"/>
                <w:sz w:val="17"/>
              </w:rPr>
              <w:t>Coordination issues</w:t>
            </w:r>
          </w:p>
        </w:tc>
        <w:tc>
          <w:tcPr>
            <w:tcW w:type="dxa" w:w="6009"/>
          </w:tcPr>
          <w:p>
            <w:pPr>
              <w:spacing w:after="40"/>
            </w:pPr>
            <w:r>
              <w:rPr>
                <w:sz w:val="17"/>
              </w:rPr>
            </w:r>
            <w:r>
              <w:rPr>
                <w:b w:val="0"/>
                <w:sz w:val="17"/>
              </w:rPr>
              <w:t>BCF 2.1</w:t>
            </w:r>
          </w:p>
        </w:tc>
      </w:tr>
      <w:tr>
        <w:tc>
          <w:tcPr>
            <w:tcW w:type="dxa" w:w="3402"/>
          </w:tcPr>
          <w:p>
            <w:pPr>
              <w:spacing w:after="40"/>
            </w:pPr>
            <w:r>
              <w:rPr>
                <w:sz w:val="17"/>
              </w:rPr>
            </w:r>
            <w:r>
              <w:rPr>
                <w:b w:val="0"/>
                <w:sz w:val="17"/>
              </w:rPr>
              <w:t>Structured handover data</w:t>
            </w:r>
          </w:p>
        </w:tc>
        <w:tc>
          <w:tcPr>
            <w:tcW w:type="dxa" w:w="6009"/>
          </w:tcPr>
          <w:p>
            <w:pPr>
              <w:spacing w:after="40"/>
            </w:pPr>
            <w:r>
              <w:rPr>
                <w:sz w:val="17"/>
              </w:rPr>
            </w:r>
            <w:r>
              <w:rPr>
                <w:b w:val="0"/>
                <w:sz w:val="17"/>
              </w:rPr>
              <w:t>COBie 2.4 (XLSX)</w:t>
            </w:r>
          </w:p>
        </w:tc>
      </w:tr>
      <w:tr>
        <w:tc>
          <w:tcPr>
            <w:tcW w:type="dxa" w:w="3402"/>
          </w:tcPr>
          <w:p>
            <w:pPr>
              <w:spacing w:after="40"/>
            </w:pPr>
            <w:r>
              <w:rPr>
                <w:sz w:val="17"/>
              </w:rPr>
            </w:r>
            <w:r>
              <w:rPr>
                <w:b w:val="0"/>
                <w:sz w:val="17"/>
              </w:rPr>
              <w:t>Operation and maintenance information</w:t>
            </w:r>
          </w:p>
        </w:tc>
        <w:tc>
          <w:tcPr>
            <w:tcW w:type="dxa" w:w="6009"/>
          </w:tcPr>
          <w:p>
            <w:pPr>
              <w:spacing w:after="40"/>
            </w:pPr>
            <w:r>
              <w:rPr>
                <w:sz w:val="17"/>
              </w:rPr>
            </w:r>
            <w:r>
              <w:rPr>
                <w:b w:val="0"/>
                <w:sz w:val="17"/>
              </w:rPr>
              <w:t>As exported from the FF&amp;E and O&amp;M system</w:t>
            </w:r>
          </w:p>
        </w:tc>
      </w:tr>
    </w:tbl>
    <w:p>
      <w:pPr>
        <w:spacing w:after="40"/>
      </w:pPr>
    </w:p>
    <w:p>
      <w:pPr>
        <w:pStyle w:val="Heading2"/>
      </w:pPr>
      <w:r>
        <w:t>6.3  Coordinate system</w:t>
      </w:r>
    </w:p>
    <w:p>
      <w:r>
        <w:rPr>
          <w:b w:val="0"/>
          <w:i w:val="0"/>
        </w:rPr>
        <w:t>[FILL — agreed survey datum, project base point, survey point, true north and shared coordinate origin.] The coordinate system is defined at mobilisation and locked thereafter. All models are linked by shared coordinates.</w:t>
      </w:r>
    </w:p>
    <w:p>
      <w:r>
        <w:br w:type="page"/>
      </w:r>
    </w:p>
    <w:p>
      <w:pPr>
        <w:pStyle w:val="Heading1"/>
        <w:pBdr>
          <w:bottom w:val="single" w:sz="8" w:space="4" w:color="1F3654"/>
        </w:pBdr>
      </w:pPr>
      <w:r>
        <w:t>7  Collaboration and coordination</w:t>
      </w:r>
    </w:p>
    <w:p>
      <w:pPr>
        <w:pStyle w:val="Heading2"/>
      </w:pPr>
      <w:r>
        <w:t>7.1  The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Cadence</w:t>
            </w:r>
          </w:p>
        </w:tc>
        <w:tc>
          <w:tcPr>
            <w:tcW w:type="dxa" w:w="7710"/>
            <w:shd w:val="clear" w:fill="E8EDF3"/>
          </w:tcPr>
          <w:p>
            <w:r/>
            <w:r>
              <w:rPr>
                <w:b/>
                <w:color w:val="1F3654"/>
                <w:sz w:val="17"/>
              </w:rPr>
              <w:t>Activity</w:t>
            </w:r>
          </w:p>
        </w:tc>
      </w:tr>
      <w:tr>
        <w:tc>
          <w:tcPr>
            <w:tcW w:type="dxa" w:w="1701"/>
          </w:tcPr>
          <w:p>
            <w:pPr>
              <w:spacing w:after="40"/>
            </w:pPr>
            <w:r>
              <w:rPr>
                <w:sz w:val="17"/>
              </w:rPr>
            </w:r>
            <w:r>
              <w:rPr>
                <w:b w:val="0"/>
                <w:sz w:val="17"/>
              </w:rPr>
              <w:t>Daily</w:t>
            </w:r>
          </w:p>
        </w:tc>
        <w:tc>
          <w:tcPr>
            <w:tcW w:type="dxa" w:w="7710"/>
          </w:tcPr>
          <w:p>
            <w:pPr>
              <w:spacing w:after="40"/>
            </w:pPr>
            <w:r>
              <w:rPr>
                <w:sz w:val="17"/>
              </w:rPr>
            </w:r>
            <w:r>
              <w:rPr>
                <w:b w:val="0"/>
                <w:sz w:val="17"/>
              </w:rPr>
              <w:t>Authoring in the work in progress area</w:t>
            </w:r>
          </w:p>
        </w:tc>
      </w:tr>
      <w:tr>
        <w:tc>
          <w:tcPr>
            <w:tcW w:type="dxa" w:w="1701"/>
          </w:tcPr>
          <w:p>
            <w:pPr>
              <w:spacing w:after="40"/>
            </w:pPr>
            <w:r>
              <w:rPr>
                <w:sz w:val="17"/>
              </w:rPr>
            </w:r>
            <w:r>
              <w:rPr>
                <w:b w:val="0"/>
                <w:sz w:val="17"/>
              </w:rPr>
              <w:t>Weekly</w:t>
            </w:r>
          </w:p>
        </w:tc>
        <w:tc>
          <w:tcPr>
            <w:tcW w:type="dxa" w:w="7710"/>
          </w:tcPr>
          <w:p>
            <w:pPr>
              <w:spacing w:after="40"/>
            </w:pPr>
            <w:r>
              <w:rPr>
                <w:sz w:val="17"/>
              </w:rPr>
            </w:r>
            <w:r>
              <w:rPr>
                <w:b w:val="0"/>
                <w:sz w:val="17"/>
              </w:rPr>
              <w:t>Progress note from each task team</w:t>
            </w:r>
          </w:p>
        </w:tc>
      </w:tr>
      <w:tr>
        <w:tc>
          <w:tcPr>
            <w:tcW w:type="dxa" w:w="1701"/>
          </w:tcPr>
          <w:p>
            <w:pPr>
              <w:spacing w:after="40"/>
            </w:pPr>
            <w:r>
              <w:rPr>
                <w:sz w:val="17"/>
              </w:rPr>
            </w:r>
            <w:r>
              <w:rPr>
                <w:b w:val="0"/>
                <w:sz w:val="17"/>
              </w:rPr>
              <w:t>Fortnightly</w:t>
            </w:r>
          </w:p>
        </w:tc>
        <w:tc>
          <w:tcPr>
            <w:tcW w:type="dxa" w:w="7710"/>
          </w:tcPr>
          <w:p>
            <w:pPr>
              <w:spacing w:after="40"/>
            </w:pPr>
            <w:r>
              <w:rPr>
                <w:sz w:val="17"/>
              </w:rPr>
            </w:r>
            <w:r>
              <w:rPr>
                <w:b w:val="0"/>
                <w:sz w:val="17"/>
              </w:rPr>
              <w:t>Share, federation, clash detection, coordination report and coordination meeting</w:t>
            </w:r>
          </w:p>
        </w:tc>
      </w:tr>
      <w:tr>
        <w:tc>
          <w:tcPr>
            <w:tcW w:type="dxa" w:w="1701"/>
          </w:tcPr>
          <w:p>
            <w:pPr>
              <w:spacing w:after="40"/>
            </w:pPr>
            <w:r>
              <w:rPr>
                <w:sz w:val="17"/>
              </w:rPr>
            </w:r>
            <w:r>
              <w:rPr>
                <w:b w:val="0"/>
                <w:sz w:val="17"/>
              </w:rPr>
              <w:t>Monthly</w:t>
            </w:r>
          </w:p>
        </w:tc>
        <w:tc>
          <w:tcPr>
            <w:tcW w:type="dxa" w:w="7710"/>
          </w:tcPr>
          <w:p>
            <w:pPr>
              <w:spacing w:after="40"/>
            </w:pPr>
            <w:r>
              <w:rPr>
                <w:sz w:val="17"/>
              </w:rPr>
            </w:r>
            <w:r>
              <w:rPr>
                <w:b w:val="0"/>
                <w:sz w:val="17"/>
              </w:rPr>
              <w:t>Status report, data quality audit and review of the delivery plan</w:t>
            </w:r>
          </w:p>
        </w:tc>
      </w:tr>
      <w:tr>
        <w:tc>
          <w:tcPr>
            <w:tcW w:type="dxa" w:w="1701"/>
          </w:tcPr>
          <w:p>
            <w:pPr>
              <w:spacing w:after="40"/>
            </w:pPr>
            <w:r>
              <w:rPr>
                <w:sz w:val="17"/>
              </w:rPr>
            </w:r>
            <w:r>
              <w:rPr>
                <w:b w:val="0"/>
                <w:sz w:val="17"/>
              </w:rPr>
              <w:t>Per stage</w:t>
            </w:r>
          </w:p>
        </w:tc>
        <w:tc>
          <w:tcPr>
            <w:tcW w:type="dxa" w:w="7710"/>
          </w:tcPr>
          <w:p>
            <w:pPr>
              <w:spacing w:after="40"/>
            </w:pPr>
            <w:r>
              <w:rPr>
                <w:sz w:val="17"/>
              </w:rPr>
            </w:r>
            <w:r>
              <w:rPr>
                <w:b w:val="0"/>
                <w:sz w:val="17"/>
              </w:rPr>
              <w:t>Formal data drop, gate audit, transmittal and Appointing Party review</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CONFIRMED CADENCE</w:t>
            </w:r>
          </w:p>
          <w:p>
            <w:r>
              <w:rPr>
                <w:b w:val="0"/>
                <w:sz w:val="19"/>
              </w:rPr>
              <w:t xml:space="preserve">The coordination cycle is </w:t>
            </w:r>
            <w:r>
              <w:rPr>
                <w:b/>
                <w:sz w:val="19"/>
              </w:rPr>
              <w:t>fortnightly</w:t>
            </w:r>
            <w:r>
              <w:rPr>
                <w:b w:val="0"/>
                <w:sz w:val="19"/>
              </w:rPr>
              <w:t>. Earlier drafts of this plan described a weekly cycle. The fortnightly interval matches the appointment and gives task teams a working week between the issue of a coordination report and the next share, which a weekly cycle does not.</w:t>
            </w:r>
          </w:p>
        </w:tc>
      </w:tr>
    </w:tbl>
    <w:p>
      <w:pPr>
        <w:spacing w:after="40"/>
      </w:pPr>
    </w:p>
    <w:p>
      <w:pPr>
        <w:pStyle w:val="Heading2"/>
      </w:pPr>
      <w:r>
        <w:t>7.2  Clash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Tools</w:t>
            </w:r>
          </w:p>
        </w:tc>
        <w:tc>
          <w:tcPr>
            <w:tcW w:type="dxa" w:w="7257"/>
          </w:tcPr>
          <w:p>
            <w:pPr>
              <w:spacing w:after="40"/>
            </w:pPr>
            <w:r>
              <w:rPr>
                <w:sz w:val="17"/>
              </w:rPr>
            </w:r>
            <w:r>
              <w:rPr>
                <w:b w:val="0"/>
                <w:sz w:val="17"/>
              </w:rPr>
              <w:t>ACC Model Coordination is the system of record. Coordination issues are raised as ACC Issues and exchanged in BCF format</w:t>
            </w:r>
          </w:p>
        </w:tc>
      </w:tr>
      <w:tr>
        <w:tc>
          <w:tcPr>
            <w:tcW w:type="dxa" w:w="2154"/>
          </w:tcPr>
          <w:p>
            <w:pPr>
              <w:spacing w:after="40"/>
            </w:pPr>
            <w:r>
              <w:rPr>
                <w:sz w:val="17"/>
              </w:rPr>
            </w:r>
            <w:r>
              <w:rPr>
                <w:b w:val="0"/>
                <w:sz w:val="17"/>
              </w:rPr>
              <w:t>Clash matrix</w:t>
            </w:r>
          </w:p>
        </w:tc>
        <w:tc>
          <w:tcPr>
            <w:tcW w:type="dxa" w:w="7257"/>
          </w:tcPr>
          <w:p>
            <w:pPr>
              <w:spacing w:after="40"/>
            </w:pPr>
            <w:r>
              <w:rPr>
                <w:sz w:val="17"/>
              </w:rPr>
            </w:r>
            <w:r>
              <w:rPr>
                <w:b w:val="0"/>
                <w:sz w:val="17"/>
              </w:rPr>
              <w:t>[FILL — which discipline models are tested against which]</w:t>
            </w:r>
          </w:p>
        </w:tc>
      </w:tr>
      <w:tr>
        <w:tc>
          <w:tcPr>
            <w:tcW w:type="dxa" w:w="2154"/>
          </w:tcPr>
          <w:p>
            <w:pPr>
              <w:spacing w:after="40"/>
            </w:pPr>
            <w:r>
              <w:rPr>
                <w:sz w:val="17"/>
              </w:rPr>
            </w:r>
            <w:r>
              <w:rPr>
                <w:b w:val="0"/>
                <w:sz w:val="17"/>
              </w:rPr>
              <w:t>Priorities</w:t>
            </w:r>
          </w:p>
        </w:tc>
        <w:tc>
          <w:tcPr>
            <w:tcW w:type="dxa" w:w="7257"/>
          </w:tcPr>
          <w:p>
            <w:pPr>
              <w:spacing w:after="40"/>
            </w:pPr>
            <w:r>
              <w:rPr>
                <w:sz w:val="17"/>
              </w:rPr>
            </w:r>
            <w:r>
              <w:rPr>
                <w:b w:val="0"/>
                <w:sz w:val="17"/>
              </w:rPr>
              <w:t>P1 critical, P2 major, P3 minor, P4 observation, as defined in the Project Delivery Playbook</w:t>
            </w:r>
          </w:p>
        </w:tc>
      </w:tr>
      <w:tr>
        <w:tc>
          <w:tcPr>
            <w:tcW w:type="dxa" w:w="2154"/>
          </w:tcPr>
          <w:p>
            <w:pPr>
              <w:spacing w:after="40"/>
            </w:pPr>
            <w:r>
              <w:rPr>
                <w:sz w:val="17"/>
              </w:rPr>
            </w:r>
            <w:r>
              <w:rPr>
                <w:b w:val="0"/>
                <w:sz w:val="17"/>
              </w:rPr>
              <w:t>Clearances and tolerances</w:t>
            </w:r>
          </w:p>
        </w:tc>
        <w:tc>
          <w:tcPr>
            <w:tcW w:type="dxa" w:w="7257"/>
          </w:tcPr>
          <w:p>
            <w:pPr>
              <w:spacing w:after="40"/>
            </w:pPr>
            <w:r>
              <w:rPr>
                <w:sz w:val="17"/>
              </w:rPr>
            </w:r>
            <w:r>
              <w:rPr>
                <w:b w:val="0"/>
                <w:sz w:val="17"/>
              </w:rPr>
              <w:t>[FILL — hard clash tolerance and clearance rules by interface]</w:t>
            </w:r>
          </w:p>
        </w:tc>
      </w:tr>
      <w:tr>
        <w:tc>
          <w:tcPr>
            <w:tcW w:type="dxa" w:w="2154"/>
          </w:tcPr>
          <w:p>
            <w:pPr>
              <w:spacing w:after="40"/>
            </w:pPr>
            <w:r>
              <w:rPr>
                <w:sz w:val="17"/>
              </w:rPr>
            </w:r>
            <w:r>
              <w:rPr>
                <w:b w:val="0"/>
                <w:sz w:val="17"/>
              </w:rPr>
              <w:t>Grouping</w:t>
            </w:r>
          </w:p>
        </w:tc>
        <w:tc>
          <w:tcPr>
            <w:tcW w:type="dxa" w:w="7257"/>
          </w:tcPr>
          <w:p>
            <w:pPr>
              <w:spacing w:after="40"/>
            </w:pPr>
            <w:r>
              <w:rPr>
                <w:sz w:val="17"/>
              </w:rPr>
            </w:r>
            <w:r>
              <w:rPr>
                <w:b w:val="0"/>
                <w:sz w:val="17"/>
              </w:rPr>
              <w:t>Clashes are grouped so that each issue represents one physical condition rather than one geometric intersection</w:t>
            </w:r>
          </w:p>
        </w:tc>
      </w:tr>
      <w:tr>
        <w:tc>
          <w:tcPr>
            <w:tcW w:type="dxa" w:w="2154"/>
          </w:tcPr>
          <w:p>
            <w:pPr>
              <w:spacing w:after="40"/>
            </w:pPr>
            <w:r>
              <w:rPr>
                <w:sz w:val="17"/>
              </w:rPr>
            </w:r>
            <w:r>
              <w:rPr>
                <w:b w:val="0"/>
                <w:sz w:val="17"/>
              </w:rPr>
              <w:t>Acceptance</w:t>
            </w:r>
          </w:p>
        </w:tc>
        <w:tc>
          <w:tcPr>
            <w:tcW w:type="dxa" w:w="7257"/>
          </w:tcPr>
          <w:p>
            <w:pPr>
              <w:spacing w:after="40"/>
            </w:pPr>
            <w:r>
              <w:rPr>
                <w:sz w:val="17"/>
              </w:rPr>
            </w:r>
            <w:r>
              <w:rPr>
                <w:b w:val="0"/>
                <w:sz w:val="17"/>
              </w:rPr>
              <w:t>No unresolved high priority clashes at any data drop</w:t>
            </w:r>
          </w:p>
        </w:tc>
      </w:tr>
      <w:tr>
        <w:tc>
          <w:tcPr>
            <w:tcW w:type="dxa" w:w="2154"/>
          </w:tcPr>
          <w:p>
            <w:pPr>
              <w:spacing w:after="40"/>
            </w:pPr>
            <w:r>
              <w:rPr>
                <w:sz w:val="17"/>
              </w:rPr>
            </w:r>
            <w:r>
              <w:rPr>
                <w:b w:val="0"/>
                <w:sz w:val="17"/>
              </w:rPr>
              <w:t>Reporting</w:t>
            </w:r>
          </w:p>
        </w:tc>
        <w:tc>
          <w:tcPr>
            <w:tcW w:type="dxa" w:w="7257"/>
          </w:tcPr>
          <w:p>
            <w:pPr>
              <w:spacing w:after="40"/>
            </w:pPr>
            <w:r>
              <w:rPr>
                <w:sz w:val="17"/>
              </w:rPr>
            </w:r>
            <w:r>
              <w:rPr>
                <w:b w:val="0"/>
                <w:sz w:val="17"/>
              </w:rPr>
              <w:t>A coordination report is issued 48 hours before each coordination meeting</w:t>
            </w:r>
          </w:p>
        </w:tc>
      </w:tr>
    </w:tbl>
    <w:p>
      <w:pPr>
        <w:spacing w:after="40"/>
      </w:pPr>
    </w:p>
    <w:p>
      <w:pPr>
        <w:pStyle w:val="Heading2"/>
      </w:pPr>
      <w:r>
        <w:t>7.3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814"/>
            <w:shd w:val="clear" w:fill="E8EDF3"/>
          </w:tcPr>
          <w:p>
            <w:r/>
            <w:r>
              <w:rPr>
                <w:b/>
                <w:color w:val="1F3654"/>
                <w:sz w:val="16"/>
              </w:rPr>
              <w:t>Meeting</w:t>
            </w:r>
          </w:p>
        </w:tc>
        <w:tc>
          <w:tcPr>
            <w:tcW w:type="dxa" w:w="1247"/>
            <w:shd w:val="clear" w:fill="E8EDF3"/>
          </w:tcPr>
          <w:p>
            <w:r/>
            <w:r>
              <w:rPr>
                <w:b/>
                <w:color w:val="1F3654"/>
                <w:sz w:val="16"/>
              </w:rPr>
              <w:t>Frequency</w:t>
            </w:r>
          </w:p>
        </w:tc>
        <w:tc>
          <w:tcPr>
            <w:tcW w:type="dxa" w:w="1814"/>
            <w:shd w:val="clear" w:fill="E8EDF3"/>
          </w:tcPr>
          <w:p>
            <w:r/>
            <w:r>
              <w:rPr>
                <w:b/>
                <w:color w:val="1F3654"/>
                <w:sz w:val="16"/>
              </w:rPr>
              <w:t>Chair</w:t>
            </w:r>
          </w:p>
        </w:tc>
        <w:tc>
          <w:tcPr>
            <w:tcW w:type="dxa" w:w="2494"/>
            <w:shd w:val="clear" w:fill="E8EDF3"/>
          </w:tcPr>
          <w:p>
            <w:r/>
            <w:r>
              <w:rPr>
                <w:b/>
                <w:color w:val="1F3654"/>
                <w:sz w:val="16"/>
              </w:rPr>
              <w:t>Attendees</w:t>
            </w:r>
          </w:p>
        </w:tc>
        <w:tc>
          <w:tcPr>
            <w:tcW w:type="dxa" w:w="2041"/>
            <w:shd w:val="clear" w:fill="E8EDF3"/>
          </w:tcPr>
          <w:p>
            <w:r/>
            <w:r>
              <w:rPr>
                <w:b/>
                <w:color w:val="1F3654"/>
                <w:sz w:val="16"/>
              </w:rPr>
              <w:t>Output</w:t>
            </w:r>
          </w:p>
        </w:tc>
      </w:tr>
      <w:tr>
        <w:tc>
          <w:tcPr>
            <w:tcW w:type="dxa" w:w="1814"/>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Task Team Managers, Information Manager</w:t>
            </w:r>
          </w:p>
        </w:tc>
        <w:tc>
          <w:tcPr>
            <w:tcW w:type="dxa" w:w="2041"/>
          </w:tcPr>
          <w:p>
            <w:pPr>
              <w:spacing w:after="40"/>
            </w:pPr>
            <w:r>
              <w:rPr>
                <w:sz w:val="16"/>
              </w:rPr>
            </w:r>
            <w:r>
              <w:rPr>
                <w:b w:val="0"/>
                <w:sz w:val="16"/>
              </w:rPr>
              <w:t>Issue assignments and dates</w:t>
            </w:r>
          </w:p>
        </w:tc>
      </w:tr>
      <w:tr>
        <w:tc>
          <w:tcPr>
            <w:tcW w:type="dxa" w:w="1814"/>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Design leads</w:t>
            </w:r>
          </w:p>
        </w:tc>
        <w:tc>
          <w:tcPr>
            <w:tcW w:type="dxa" w:w="2041"/>
          </w:tcPr>
          <w:p>
            <w:pPr>
              <w:spacing w:after="40"/>
            </w:pPr>
            <w:r>
              <w:rPr>
                <w:sz w:val="16"/>
              </w:rPr>
            </w:r>
            <w:r>
              <w:rPr>
                <w:b w:val="0"/>
                <w:sz w:val="16"/>
              </w:rPr>
              <w:t>Decisions log</w:t>
            </w:r>
          </w:p>
        </w:tc>
      </w:tr>
      <w:tr>
        <w:tc>
          <w:tcPr>
            <w:tcW w:type="dxa" w:w="1814"/>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814"/>
          </w:tcPr>
          <w:p>
            <w:pPr>
              <w:spacing w:after="40"/>
            </w:pPr>
            <w:r>
              <w:rPr>
                <w:sz w:val="16"/>
              </w:rPr>
            </w:r>
            <w:r>
              <w:rPr>
                <w:b w:val="0"/>
                <w:sz w:val="16"/>
              </w:rPr>
              <w:t>Information Manager</w:t>
            </w:r>
          </w:p>
        </w:tc>
        <w:tc>
          <w:tcPr>
            <w:tcW w:type="dxa" w:w="2494"/>
          </w:tcPr>
          <w:p>
            <w:pPr>
              <w:spacing w:after="40"/>
            </w:pPr>
            <w:r>
              <w:rPr>
                <w:sz w:val="16"/>
              </w:rPr>
            </w:r>
            <w:r>
              <w:rPr>
                <w:b w:val="0"/>
                <w:sz w:val="16"/>
              </w:rPr>
              <w:t>Task Team Managers</w:t>
            </w:r>
          </w:p>
        </w:tc>
        <w:tc>
          <w:tcPr>
            <w:tcW w:type="dxa" w:w="2041"/>
          </w:tcPr>
          <w:p>
            <w:pPr>
              <w:spacing w:after="40"/>
            </w:pPr>
            <w:r>
              <w:rPr>
                <w:sz w:val="16"/>
              </w:rPr>
            </w:r>
            <w:r>
              <w:rPr>
                <w:b w:val="0"/>
                <w:sz w:val="16"/>
              </w:rPr>
              <w:t>Standards and data quality actions</w:t>
            </w:r>
          </w:p>
        </w:tc>
      </w:tr>
      <w:tr>
        <w:tc>
          <w:tcPr>
            <w:tcW w:type="dxa" w:w="1814"/>
          </w:tcPr>
          <w:p>
            <w:pPr>
              <w:spacing w:after="40"/>
            </w:pPr>
            <w:r>
              <w:rPr>
                <w:sz w:val="16"/>
              </w:rPr>
            </w:r>
            <w:r>
              <w:rPr>
                <w:b w:val="0"/>
                <w:sz w:val="16"/>
              </w:rPr>
              <w:t>Appointing Party review</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Appointing Party</w:t>
            </w:r>
          </w:p>
        </w:tc>
        <w:tc>
          <w:tcPr>
            <w:tcW w:type="dxa" w:w="2494"/>
          </w:tcPr>
          <w:p>
            <w:pPr>
              <w:spacing w:after="40"/>
            </w:pPr>
            <w:r>
              <w:rPr>
                <w:sz w:val="16"/>
              </w:rPr>
            </w:r>
            <w:r>
              <w:rPr>
                <w:b w:val="0"/>
                <w:sz w:val="16"/>
              </w:rPr>
              <w:t>All</w:t>
            </w:r>
          </w:p>
        </w:tc>
        <w:tc>
          <w:tcPr>
            <w:tcW w:type="dxa" w:w="2041"/>
          </w:tcPr>
          <w:p>
            <w:pPr>
              <w:spacing w:after="40"/>
            </w:pPr>
            <w:r>
              <w:rPr>
                <w:sz w:val="16"/>
              </w:rPr>
            </w:r>
            <w:r>
              <w:rPr>
                <w:b w:val="0"/>
                <w:sz w:val="16"/>
              </w:rPr>
              <w:t>Review comments</w:t>
            </w:r>
          </w:p>
        </w:tc>
      </w:tr>
      <w:tr>
        <w:tc>
          <w:tcPr>
            <w:tcW w:type="dxa" w:w="1814"/>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Appointing Party, Information Manager, leads</w:t>
            </w:r>
          </w:p>
        </w:tc>
        <w:tc>
          <w:tcPr>
            <w:tcW w:type="dxa" w:w="2041"/>
          </w:tcPr>
          <w:p>
            <w:pPr>
              <w:spacing w:after="40"/>
            </w:pPr>
            <w:r>
              <w:rPr>
                <w:sz w:val="16"/>
              </w:rPr>
            </w:r>
            <w:r>
              <w:rPr>
                <w:b w:val="0"/>
                <w:sz w:val="16"/>
              </w:rPr>
              <w:t>Acceptance</w:t>
            </w:r>
          </w:p>
        </w:tc>
      </w:tr>
    </w:tbl>
    <w:p>
      <w:pPr>
        <w:spacing w:after="40"/>
      </w:pPr>
    </w:p>
    <w:p>
      <w:r>
        <w:br w:type="page"/>
      </w:r>
    </w:p>
    <w:p>
      <w:pPr>
        <w:pStyle w:val="Heading1"/>
        <w:pBdr>
          <w:bottom w:val="single" w:sz="8" w:space="4" w:color="1F3654"/>
        </w:pBdr>
      </w:pPr>
      <w:r>
        <w:t>8  Security-minded approach</w:t>
      </w:r>
    </w:p>
    <w:p>
      <w:r>
        <w:rPr>
          <w:b w:val="0"/>
          <w:i w:val="0"/>
        </w:rPr>
        <w:t>The project is treated as sensitive. The following arrangements apply in accordance with BS EN ISO 19650-5.</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in the Common Data Environment, on the principle of least privilege. Access is reviewed at each stage boundary</w:t>
            </w:r>
          </w:p>
        </w:tc>
      </w:tr>
      <w:tr>
        <w:tc>
          <w:tcPr>
            <w:tcW w:type="dxa" w:w="1928"/>
          </w:tcPr>
          <w:p>
            <w:pPr>
              <w:spacing w:after="40"/>
            </w:pPr>
            <w:r>
              <w:rPr>
                <w:sz w:val="17"/>
              </w:rPr>
            </w:r>
            <w:r>
              <w:rPr>
                <w:b w:val="0"/>
                <w:sz w:val="17"/>
              </w:rPr>
              <w:t>Sensitive information</w:t>
            </w:r>
          </w:p>
        </w:tc>
        <w:tc>
          <w:tcPr>
            <w:tcW w:type="dxa" w:w="7483"/>
          </w:tcPr>
          <w:p>
            <w:pPr>
              <w:spacing w:after="40"/>
            </w:pPr>
            <w:r>
              <w:rPr>
                <w:sz w:val="17"/>
              </w:rPr>
            </w:r>
            <w:r>
              <w:rPr>
                <w:b w:val="0"/>
                <w:sz w:val="17"/>
              </w:rPr>
              <w:t>[FILL — identify the information to be restricted and the parties permitted access]</w:t>
            </w:r>
          </w:p>
        </w:tc>
      </w:tr>
      <w:tr>
        <w:tc>
          <w:tcPr>
            <w:tcW w:type="dxa" w:w="1928"/>
          </w:tcPr>
          <w:p>
            <w:pPr>
              <w:spacing w:after="40"/>
            </w:pPr>
            <w:r>
              <w:rPr>
                <w:sz w:val="17"/>
              </w:rPr>
            </w:r>
            <w:r>
              <w:rPr>
                <w:b w:val="0"/>
                <w:sz w:val="17"/>
              </w:rPr>
              <w:t>Data handling</w:t>
            </w:r>
          </w:p>
        </w:tc>
        <w:tc>
          <w:tcPr>
            <w:tcW w:type="dxa" w:w="7483"/>
          </w:tcPr>
          <w:p>
            <w:pPr>
              <w:spacing w:after="40"/>
            </w:pPr>
            <w:r>
              <w:rPr>
                <w:sz w:val="17"/>
              </w:rPr>
            </w:r>
            <w:r>
              <w:rPr>
                <w:b w:val="0"/>
                <w:sz w:val="17"/>
              </w:rPr>
              <w:t>[FILL — storage, transfer and confidentiality arrangements, including non-disclosure agreements]</w:t>
            </w:r>
          </w:p>
        </w:tc>
      </w:tr>
      <w:tr>
        <w:tc>
          <w:tcPr>
            <w:tcW w:type="dxa" w:w="1928"/>
          </w:tcPr>
          <w:p>
            <w:pPr>
              <w:spacing w:after="40"/>
            </w:pPr>
            <w:r>
              <w:rPr>
                <w:sz w:val="17"/>
              </w:rPr>
            </w:r>
            <w:r>
              <w:rPr>
                <w:b w:val="0"/>
                <w:sz w:val="17"/>
              </w:rPr>
              <w:t>Publication</w:t>
            </w:r>
          </w:p>
        </w:tc>
        <w:tc>
          <w:tcPr>
            <w:tcW w:type="dxa" w:w="7483"/>
          </w:tcPr>
          <w:p>
            <w:pPr>
              <w:spacing w:after="40"/>
            </w:pPr>
            <w:r>
              <w:rPr>
                <w:sz w:val="17"/>
              </w:rPr>
            </w:r>
            <w:r>
              <w:rPr>
                <w:b w:val="0"/>
                <w:sz w:val="17"/>
              </w:rPr>
              <w:t>Project information, including images, plans and visualisations, must not be published, circulated outside the project, or used in promotional or portfolio material without the written permission of the Appointing Party</w:t>
            </w:r>
          </w:p>
        </w:tc>
      </w:tr>
      <w:tr>
        <w:tc>
          <w:tcPr>
            <w:tcW w:type="dxa" w:w="1928"/>
          </w:tcPr>
          <w:p>
            <w:pPr>
              <w:spacing w:after="40"/>
            </w:pPr>
            <w:r>
              <w:rPr>
                <w:sz w:val="17"/>
              </w:rPr>
            </w:r>
            <w:r>
              <w:rPr>
                <w:b w:val="0"/>
                <w:sz w:val="17"/>
              </w:rPr>
              <w:t>Breach procedure</w:t>
            </w:r>
          </w:p>
        </w:tc>
        <w:tc>
          <w:tcPr>
            <w:tcW w:type="dxa" w:w="7483"/>
          </w:tcPr>
          <w:p>
            <w:pPr>
              <w:spacing w:after="40"/>
            </w:pPr>
            <w:r>
              <w:rPr>
                <w:sz w:val="17"/>
              </w:rPr>
            </w:r>
            <w:r>
              <w:rPr>
                <w:b w:val="0"/>
                <w:sz w:val="17"/>
              </w:rPr>
              <w:t>[FILL — reporting route and timescale]</w:t>
            </w:r>
          </w:p>
        </w:tc>
      </w:tr>
    </w:tbl>
    <w:p>
      <w:pPr>
        <w:spacing w:after="40"/>
      </w:pPr>
    </w:p>
    <w:p>
      <w:r>
        <w:br w:type="page"/>
      </w:r>
    </w:p>
    <w:p>
      <w:pPr>
        <w:pStyle w:val="Heading1"/>
        <w:pBdr>
          <w:bottom w:val="single" w:sz="8" w:space="4" w:color="1F3654"/>
        </w:pBdr>
      </w:pPr>
      <w:r>
        <w:t>9  Information delivery planning</w:t>
      </w:r>
    </w:p>
    <w:p>
      <w:r>
        <w:rPr>
          <w:b w:val="0"/>
          <w:i w:val="0"/>
        </w:rPr>
        <w:t>Each task team submits a Task Information Delivery Plan setting out its deliverables, dates, level of information need and responsible person. The Information Manager aggregates these into the Master Information Delivery Plan, which is baselined at mobilisation and reissued at each stage and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628"/>
            <w:shd w:val="clear" w:fill="E8EDF3"/>
          </w:tcPr>
          <w:p>
            <w:r/>
            <w:r>
              <w:rPr>
                <w:b/>
                <w:color w:val="1F3654"/>
                <w:sz w:val="17"/>
              </w:rPr>
              <w:t>Milestone</w:t>
            </w:r>
          </w:p>
        </w:tc>
        <w:tc>
          <w:tcPr>
            <w:tcW w:type="dxa" w:w="1361"/>
            <w:shd w:val="clear" w:fill="E8EDF3"/>
          </w:tcPr>
          <w:p>
            <w:r/>
            <w:r>
              <w:rPr>
                <w:b/>
                <w:color w:val="1F3654"/>
                <w:sz w:val="17"/>
              </w:rPr>
              <w:t>Stage</w:t>
            </w:r>
          </w:p>
        </w:tc>
        <w:tc>
          <w:tcPr>
            <w:tcW w:type="dxa" w:w="1134"/>
            <w:shd w:val="clear" w:fill="E8EDF3"/>
          </w:tcPr>
          <w:p>
            <w:r/>
            <w:r>
              <w:rPr>
                <w:b/>
                <w:color w:val="1F3654"/>
                <w:sz w:val="17"/>
              </w:rPr>
              <w:t>LOD</w:t>
            </w:r>
          </w:p>
        </w:tc>
        <w:tc>
          <w:tcPr>
            <w:tcW w:type="dxa" w:w="3288"/>
            <w:shd w:val="clear" w:fill="E8EDF3"/>
          </w:tcPr>
          <w:p>
            <w:r/>
            <w:r>
              <w:rPr>
                <w:b/>
                <w:color w:val="1F3654"/>
                <w:sz w:val="17"/>
              </w:rPr>
              <w:t>Planned (relative month)</w:t>
            </w:r>
          </w:p>
        </w:tc>
      </w:tr>
      <w:tr>
        <w:tc>
          <w:tcPr>
            <w:tcW w:type="dxa" w:w="3628"/>
          </w:tcPr>
          <w:p>
            <w:pPr>
              <w:spacing w:after="40"/>
            </w:pPr>
            <w:r>
              <w:rPr>
                <w:sz w:val="17"/>
              </w:rPr>
            </w:r>
            <w:r>
              <w:rPr>
                <w:b w:val="0"/>
                <w:sz w:val="17"/>
              </w:rPr>
              <w:t>Basis of Design (Deliverable A)</w:t>
            </w:r>
          </w:p>
        </w:tc>
        <w:tc>
          <w:tcPr>
            <w:tcW w:type="dxa" w:w="1361"/>
          </w:tcPr>
          <w:p>
            <w:pPr>
              <w:spacing w:after="40"/>
            </w:pPr>
            <w:r>
              <w:rPr>
                <w:sz w:val="17"/>
              </w:rPr>
            </w:r>
            <w:r>
              <w:rPr>
                <w:b w:val="0"/>
                <w:sz w:val="17"/>
              </w:rPr>
              <w:t>2.1</w:t>
            </w:r>
          </w:p>
        </w:tc>
        <w:tc>
          <w:tcPr>
            <w:tcW w:type="dxa" w:w="1134"/>
          </w:tcPr>
          <w:p>
            <w:pPr>
              <w:spacing w:after="40"/>
            </w:pPr>
            <w:r>
              <w:rPr>
                <w:sz w:val="17"/>
              </w:rPr>
            </w:r>
            <w:r>
              <w:rPr>
                <w:b w:val="0"/>
                <w:sz w:val="17"/>
              </w:rPr>
              <w:t>200</w:t>
            </w:r>
          </w:p>
        </w:tc>
        <w:tc>
          <w:tcPr>
            <w:tcW w:type="dxa" w:w="3288"/>
          </w:tcPr>
          <w:p>
            <w:pPr>
              <w:spacing w:after="40"/>
            </w:pPr>
            <w:r>
              <w:rPr>
                <w:sz w:val="17"/>
              </w:rPr>
            </w:r>
            <w:r>
              <w:rPr>
                <w:b w:val="0"/>
                <w:sz w:val="17"/>
              </w:rPr>
              <w:t>M1</w:t>
            </w:r>
          </w:p>
        </w:tc>
      </w:tr>
      <w:tr>
        <w:tc>
          <w:tcPr>
            <w:tcW w:type="dxa" w:w="3628"/>
          </w:tcPr>
          <w:p>
            <w:pPr>
              <w:spacing w:after="40"/>
            </w:pPr>
            <w:r>
              <w:rPr>
                <w:sz w:val="17"/>
              </w:rPr>
            </w:r>
            <w:r>
              <w:rPr>
                <w:b w:val="0"/>
                <w:sz w:val="17"/>
              </w:rPr>
              <w:t>Developed Design (Deliverable B)</w:t>
            </w:r>
          </w:p>
        </w:tc>
        <w:tc>
          <w:tcPr>
            <w:tcW w:type="dxa" w:w="1361"/>
          </w:tcPr>
          <w:p>
            <w:pPr>
              <w:spacing w:after="40"/>
            </w:pPr>
            <w:r>
              <w:rPr>
                <w:sz w:val="17"/>
              </w:rPr>
            </w:r>
            <w:r>
              <w:rPr>
                <w:b w:val="0"/>
                <w:sz w:val="17"/>
              </w:rPr>
              <w:t>2.2</w:t>
            </w:r>
          </w:p>
        </w:tc>
        <w:tc>
          <w:tcPr>
            <w:tcW w:type="dxa" w:w="1134"/>
          </w:tcPr>
          <w:p>
            <w:pPr>
              <w:spacing w:after="40"/>
            </w:pPr>
            <w:r>
              <w:rPr>
                <w:sz w:val="17"/>
              </w:rPr>
            </w:r>
            <w:r>
              <w:rPr>
                <w:b w:val="0"/>
                <w:sz w:val="17"/>
              </w:rPr>
              <w:t>300</w:t>
            </w:r>
          </w:p>
        </w:tc>
        <w:tc>
          <w:tcPr>
            <w:tcW w:type="dxa" w:w="3288"/>
          </w:tcPr>
          <w:p>
            <w:pPr>
              <w:spacing w:after="40"/>
            </w:pPr>
            <w:r>
              <w:rPr>
                <w:sz w:val="17"/>
              </w:rPr>
            </w:r>
            <w:r>
              <w:rPr>
                <w:b w:val="0"/>
                <w:sz w:val="17"/>
              </w:rPr>
              <w:t>M4</w:t>
            </w:r>
          </w:p>
        </w:tc>
      </w:tr>
      <w:tr>
        <w:tc>
          <w:tcPr>
            <w:tcW w:type="dxa" w:w="3628"/>
          </w:tcPr>
          <w:p>
            <w:pPr>
              <w:spacing w:after="40"/>
            </w:pPr>
            <w:r>
              <w:rPr>
                <w:sz w:val="17"/>
              </w:rPr>
            </w:r>
            <w:r>
              <w:rPr>
                <w:b w:val="0"/>
                <w:sz w:val="17"/>
              </w:rPr>
              <w:t>Technical Design (Deliverable C)</w:t>
            </w:r>
          </w:p>
        </w:tc>
        <w:tc>
          <w:tcPr>
            <w:tcW w:type="dxa" w:w="1361"/>
          </w:tcPr>
          <w:p>
            <w:pPr>
              <w:spacing w:after="40"/>
            </w:pPr>
            <w:r>
              <w:rPr>
                <w:sz w:val="17"/>
              </w:rPr>
            </w:r>
            <w:r>
              <w:rPr>
                <w:b w:val="0"/>
                <w:sz w:val="17"/>
              </w:rPr>
              <w:t>2.3</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M8</w:t>
            </w:r>
          </w:p>
        </w:tc>
      </w:tr>
      <w:tr>
        <w:tc>
          <w:tcPr>
            <w:tcW w:type="dxa" w:w="3628"/>
          </w:tcPr>
          <w:p>
            <w:pPr>
              <w:spacing w:after="40"/>
            </w:pPr>
            <w:r>
              <w:rPr>
                <w:sz w:val="17"/>
              </w:rPr>
            </w:r>
            <w:r>
              <w:rPr>
                <w:b w:val="0"/>
                <w:sz w:val="17"/>
              </w:rPr>
              <w:t>Tender issue and award</w:t>
            </w:r>
          </w:p>
        </w:tc>
        <w:tc>
          <w:tcPr>
            <w:tcW w:type="dxa" w:w="1361"/>
          </w:tcPr>
          <w:p>
            <w:pPr>
              <w:spacing w:after="40"/>
            </w:pPr>
            <w:r>
              <w:rPr>
                <w:sz w:val="17"/>
              </w:rPr>
            </w:r>
            <w:r>
              <w:rPr>
                <w:b w:val="0"/>
                <w:sz w:val="17"/>
              </w:rPr>
              <w:t>2.4</w:t>
            </w:r>
          </w:p>
        </w:tc>
        <w:tc>
          <w:tcPr>
            <w:tcW w:type="dxa" w:w="1134"/>
          </w:tcPr>
          <w:p>
            <w:pPr>
              <w:spacing w:after="40"/>
            </w:pPr>
            <w:r>
              <w:rPr>
                <w:sz w:val="17"/>
              </w:rPr>
            </w:r>
            <w:r>
              <w:rPr>
                <w:b w:val="0"/>
                <w:sz w:val="17"/>
              </w:rPr>
              <w:t>—</w:t>
            </w:r>
          </w:p>
        </w:tc>
        <w:tc>
          <w:tcPr>
            <w:tcW w:type="dxa" w:w="3288"/>
          </w:tcPr>
          <w:p>
            <w:pPr>
              <w:spacing w:after="40"/>
            </w:pPr>
            <w:r>
              <w:rPr>
                <w:sz w:val="17"/>
              </w:rPr>
            </w:r>
            <w:r>
              <w:rPr>
                <w:b w:val="0"/>
                <w:sz w:val="17"/>
              </w:rPr>
              <w:t>M9 to M11</w:t>
            </w:r>
          </w:p>
        </w:tc>
      </w:tr>
      <w:tr>
        <w:tc>
          <w:tcPr>
            <w:tcW w:type="dxa" w:w="3628"/>
          </w:tcPr>
          <w:p>
            <w:pPr>
              <w:spacing w:after="40"/>
            </w:pPr>
            <w:r>
              <w:rPr>
                <w:sz w:val="17"/>
              </w:rPr>
            </w:r>
            <w:r>
              <w:rPr>
                <w:b w:val="0"/>
                <w:sz w:val="17"/>
              </w:rPr>
              <w:t>Conformed set</w:t>
            </w:r>
          </w:p>
        </w:tc>
        <w:tc>
          <w:tcPr>
            <w:tcW w:type="dxa" w:w="1361"/>
          </w:tcPr>
          <w:p>
            <w:pPr>
              <w:spacing w:after="40"/>
            </w:pPr>
            <w:r>
              <w:rPr>
                <w:sz w:val="17"/>
              </w:rPr>
            </w:r>
            <w:r>
              <w:rPr>
                <w:b w:val="0"/>
                <w:sz w:val="17"/>
              </w:rPr>
              <w:t>2.5</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M11</w:t>
            </w:r>
          </w:p>
        </w:tc>
      </w:tr>
      <w:tr>
        <w:tc>
          <w:tcPr>
            <w:tcW w:type="dxa" w:w="3628"/>
          </w:tcPr>
          <w:p>
            <w:pPr>
              <w:spacing w:after="40"/>
            </w:pPr>
            <w:r>
              <w:rPr>
                <w:sz w:val="17"/>
              </w:rPr>
            </w:r>
            <w:r>
              <w:rPr>
                <w:b w:val="0"/>
                <w:sz w:val="17"/>
              </w:rPr>
              <w:t>Construction</w:t>
            </w:r>
          </w:p>
        </w:tc>
        <w:tc>
          <w:tcPr>
            <w:tcW w:type="dxa" w:w="1361"/>
          </w:tcPr>
          <w:p>
            <w:pPr>
              <w:spacing w:after="40"/>
            </w:pPr>
            <w:r>
              <w:rPr>
                <w:sz w:val="17"/>
              </w:rPr>
            </w:r>
            <w:r>
              <w:rPr>
                <w:b w:val="0"/>
                <w:sz w:val="17"/>
              </w:rPr>
              <w:t>3.1</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M12 to M43</w:t>
            </w:r>
          </w:p>
        </w:tc>
      </w:tr>
      <w:tr>
        <w:tc>
          <w:tcPr>
            <w:tcW w:type="dxa" w:w="3628"/>
          </w:tcPr>
          <w:p>
            <w:pPr>
              <w:spacing w:after="40"/>
            </w:pPr>
            <w:r>
              <w:rPr>
                <w:sz w:val="17"/>
              </w:rPr>
            </w:r>
            <w:r>
              <w:rPr>
                <w:b w:val="0"/>
                <w:sz w:val="17"/>
              </w:rPr>
              <w:t>FF&amp;E installation</w:t>
            </w:r>
          </w:p>
        </w:tc>
        <w:tc>
          <w:tcPr>
            <w:tcW w:type="dxa" w:w="1361"/>
          </w:tcPr>
          <w:p>
            <w:pPr>
              <w:spacing w:after="40"/>
            </w:pPr>
            <w:r>
              <w:rPr>
                <w:sz w:val="17"/>
              </w:rPr>
            </w:r>
            <w:r>
              <w:rPr>
                <w:b w:val="0"/>
                <w:sz w:val="17"/>
              </w:rPr>
              <w:t>3.2</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M40 to M43</w:t>
            </w:r>
          </w:p>
        </w:tc>
      </w:tr>
      <w:tr>
        <w:tc>
          <w:tcPr>
            <w:tcW w:type="dxa" w:w="3628"/>
          </w:tcPr>
          <w:p>
            <w:pPr>
              <w:spacing w:after="40"/>
            </w:pPr>
            <w:r>
              <w:rPr>
                <w:sz w:val="17"/>
              </w:rPr>
            </w:r>
            <w:r>
              <w:rPr>
                <w:b w:val="0"/>
                <w:sz w:val="17"/>
              </w:rPr>
              <w:t>Close-out (Deliverable D)</w:t>
            </w:r>
          </w:p>
        </w:tc>
        <w:tc>
          <w:tcPr>
            <w:tcW w:type="dxa" w:w="1361"/>
          </w:tcPr>
          <w:p>
            <w:pPr>
              <w:spacing w:after="40"/>
            </w:pPr>
            <w:r>
              <w:rPr>
                <w:sz w:val="17"/>
              </w:rPr>
            </w:r>
            <w:r>
              <w:rPr>
                <w:b w:val="0"/>
                <w:sz w:val="17"/>
              </w:rPr>
              <w:t>3.3</w:t>
            </w:r>
          </w:p>
        </w:tc>
        <w:tc>
          <w:tcPr>
            <w:tcW w:type="dxa" w:w="1134"/>
          </w:tcPr>
          <w:p>
            <w:pPr>
              <w:spacing w:after="40"/>
            </w:pPr>
            <w:r>
              <w:rPr>
                <w:sz w:val="17"/>
              </w:rPr>
            </w:r>
            <w:r>
              <w:rPr>
                <w:b w:val="0"/>
                <w:sz w:val="17"/>
              </w:rPr>
              <w:t>500</w:t>
            </w:r>
          </w:p>
        </w:tc>
        <w:tc>
          <w:tcPr>
            <w:tcW w:type="dxa" w:w="3288"/>
          </w:tcPr>
          <w:p>
            <w:pPr>
              <w:spacing w:after="40"/>
            </w:pPr>
            <w:r>
              <w:rPr>
                <w:sz w:val="17"/>
              </w:rPr>
            </w:r>
            <w:r>
              <w:rPr>
                <w:b w:val="0"/>
                <w:sz w:val="17"/>
              </w:rPr>
              <w:t>M45</w:t>
            </w:r>
          </w:p>
        </w:tc>
      </w:tr>
    </w:tbl>
    <w:p>
      <w:pPr>
        <w:spacing w:after="40"/>
      </w:pPr>
    </w:p>
    <w:p>
      <w:r>
        <w:br w:type="page"/>
      </w:r>
    </w:p>
    <w:p>
      <w:pPr>
        <w:pStyle w:val="Heading1"/>
        <w:pBdr>
          <w:bottom w:val="single" w:sz="8" w:space="4" w:color="1F3654"/>
        </w:pBdr>
      </w:pPr>
      <w:r>
        <w:t>10  Quality assurance and model validation</w:t>
      </w:r>
    </w:p>
    <w:p>
      <w:pPr>
        <w:pStyle w:val="Heading2"/>
      </w:pPr>
      <w:r>
        <w:t>10.1  Checks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061"/>
            <w:shd w:val="clear" w:fill="E8EDF3"/>
          </w:tcPr>
          <w:p>
            <w:r/>
            <w:r>
              <w:rPr>
                <w:b/>
                <w:color w:val="1F3654"/>
                <w:sz w:val="17"/>
              </w:rPr>
              <w:t>Check</w:t>
            </w:r>
          </w:p>
        </w:tc>
        <w:tc>
          <w:tcPr>
            <w:tcW w:type="dxa" w:w="3742"/>
            <w:shd w:val="clear" w:fill="E8EDF3"/>
          </w:tcPr>
          <w:p>
            <w:r/>
            <w:r>
              <w:rPr>
                <w:b/>
                <w:color w:val="1F3654"/>
                <w:sz w:val="17"/>
              </w:rPr>
              <w:t>Acceptance criterion</w:t>
            </w:r>
          </w:p>
        </w:tc>
        <w:tc>
          <w:tcPr>
            <w:tcW w:type="dxa" w:w="2608"/>
            <w:shd w:val="clear" w:fill="E8EDF3"/>
          </w:tcPr>
          <w:p>
            <w:r/>
            <w:r>
              <w:rPr>
                <w:b/>
                <w:color w:val="1F3654"/>
                <w:sz w:val="17"/>
              </w:rPr>
              <w:t>When</w:t>
            </w:r>
          </w:p>
        </w:tc>
      </w:tr>
      <w:tr>
        <w:tc>
          <w:tcPr>
            <w:tcW w:type="dxa" w:w="3061"/>
          </w:tcPr>
          <w:p>
            <w:pPr>
              <w:spacing w:after="40"/>
            </w:pPr>
            <w:r>
              <w:rPr>
                <w:sz w:val="17"/>
              </w:rPr>
            </w:r>
            <w:r>
              <w:rPr>
                <w:b w:val="0"/>
                <w:sz w:val="17"/>
              </w:rPr>
              <w:t>Container naming compliance</w:t>
            </w:r>
          </w:p>
        </w:tc>
        <w:tc>
          <w:tcPr>
            <w:tcW w:type="dxa" w:w="3742"/>
          </w:tcPr>
          <w:p>
            <w:pPr>
              <w:spacing w:after="40"/>
            </w:pPr>
            <w:r>
              <w:rPr>
                <w:sz w:val="17"/>
              </w:rPr>
            </w:r>
            <w:r>
              <w:rPr>
                <w:b w:val="0"/>
                <w:sz w:val="17"/>
              </w:rPr>
              <w:t>No errors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Data completeness for the stage</w:t>
            </w:r>
          </w:p>
        </w:tc>
        <w:tc>
          <w:tcPr>
            <w:tcW w:type="dxa" w:w="3742"/>
          </w:tcPr>
          <w:p>
            <w:pPr>
              <w:spacing w:after="40"/>
            </w:pPr>
            <w:r>
              <w:rPr>
                <w:sz w:val="17"/>
              </w:rPr>
            </w:r>
            <w:r>
              <w:rPr>
                <w:b w:val="0"/>
                <w:sz w:val="17"/>
              </w:rPr>
              <w:t>Not less than 95 per cent, and no critical omissions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Coordinate and level integrity</w:t>
            </w:r>
          </w:p>
        </w:tc>
        <w:tc>
          <w:tcPr>
            <w:tcW w:type="dxa" w:w="3742"/>
          </w:tcPr>
          <w:p>
            <w:pPr>
              <w:spacing w:after="40"/>
            </w:pPr>
            <w:r>
              <w:rPr>
                <w:sz w:val="17"/>
              </w:rPr>
            </w:r>
            <w:r>
              <w:rPr>
                <w:b w:val="0"/>
                <w:sz w:val="17"/>
              </w:rPr>
              <w:t>Unchanged from the issued template</w:t>
            </w:r>
          </w:p>
        </w:tc>
        <w:tc>
          <w:tcPr>
            <w:tcW w:type="dxa" w:w="2608"/>
          </w:tcPr>
          <w:p>
            <w:pPr>
              <w:spacing w:after="40"/>
            </w:pPr>
            <w:r>
              <w:rPr>
                <w:sz w:val="17"/>
              </w:rPr>
            </w:r>
            <w:r>
              <w:rPr>
                <w:b w:val="0"/>
                <w:sz w:val="17"/>
              </w:rPr>
              <w:t>Every cycle</w:t>
            </w:r>
          </w:p>
        </w:tc>
      </w:tr>
      <w:tr>
        <w:tc>
          <w:tcPr>
            <w:tcW w:type="dxa" w:w="3061"/>
          </w:tcPr>
          <w:p>
            <w:pPr>
              <w:spacing w:after="40"/>
            </w:pPr>
            <w:r>
              <w:rPr>
                <w:sz w:val="17"/>
              </w:rPr>
            </w:r>
            <w:r>
              <w:rPr>
                <w:b w:val="0"/>
                <w:sz w:val="17"/>
              </w:rPr>
              <w:t>Clash</w:t>
            </w:r>
          </w:p>
        </w:tc>
        <w:tc>
          <w:tcPr>
            <w:tcW w:type="dxa" w:w="3742"/>
          </w:tcPr>
          <w:p>
            <w:pPr>
              <w:spacing w:after="40"/>
            </w:pPr>
            <w:r>
              <w:rPr>
                <w:sz w:val="17"/>
              </w:rPr>
            </w:r>
            <w:r>
              <w:rPr>
                <w:b w:val="0"/>
                <w:sz w:val="17"/>
              </w:rPr>
              <w:t>No unresolved high priority clashes</w:t>
            </w:r>
          </w:p>
        </w:tc>
        <w:tc>
          <w:tcPr>
            <w:tcW w:type="dxa" w:w="2608"/>
          </w:tcPr>
          <w:p>
            <w:pPr>
              <w:spacing w:after="40"/>
            </w:pPr>
            <w:r>
              <w:rPr>
                <w:sz w:val="17"/>
              </w:rPr>
            </w:r>
            <w:r>
              <w:rPr>
                <w:b w:val="0"/>
                <w:sz w:val="17"/>
              </w:rPr>
              <w:t>Before every data drop</w:t>
            </w:r>
          </w:p>
        </w:tc>
      </w:tr>
      <w:tr>
        <w:tc>
          <w:tcPr>
            <w:tcW w:type="dxa" w:w="3061"/>
          </w:tcPr>
          <w:p>
            <w:pPr>
              <w:spacing w:after="40"/>
            </w:pPr>
            <w:r>
              <w:rPr>
                <w:sz w:val="17"/>
              </w:rPr>
            </w:r>
            <w:r>
              <w:rPr>
                <w:b w:val="0"/>
                <w:sz w:val="17"/>
              </w:rPr>
              <w:t>Level of development against the stage</w:t>
            </w:r>
          </w:p>
        </w:tc>
        <w:tc>
          <w:tcPr>
            <w:tcW w:type="dxa" w:w="3742"/>
          </w:tcPr>
          <w:p>
            <w:pPr>
              <w:spacing w:after="40"/>
            </w:pPr>
            <w:r>
              <w:rPr>
                <w:sz w:val="17"/>
              </w:rPr>
            </w:r>
            <w:r>
              <w:rPr>
                <w:b w:val="0"/>
                <w:sz w:val="17"/>
              </w:rPr>
              <w:t>Verified for the stage milestone</w:t>
            </w:r>
          </w:p>
        </w:tc>
        <w:tc>
          <w:tcPr>
            <w:tcW w:type="dxa" w:w="2608"/>
          </w:tcPr>
          <w:p>
            <w:pPr>
              <w:spacing w:after="40"/>
            </w:pPr>
            <w:r>
              <w:rPr>
                <w:sz w:val="17"/>
              </w:rPr>
            </w:r>
            <w:r>
              <w:rPr>
                <w:b w:val="0"/>
                <w:sz w:val="17"/>
              </w:rPr>
              <w:t>At every gate</w:t>
            </w:r>
          </w:p>
        </w:tc>
      </w:tr>
      <w:tr>
        <w:tc>
          <w:tcPr>
            <w:tcW w:type="dxa" w:w="3061"/>
          </w:tcPr>
          <w:p>
            <w:pPr>
              <w:spacing w:after="40"/>
            </w:pPr>
            <w:r>
              <w:rPr>
                <w:sz w:val="17"/>
              </w:rPr>
            </w:r>
            <w:r>
              <w:rPr>
                <w:b w:val="0"/>
                <w:sz w:val="17"/>
              </w:rPr>
              <w:t>Deliverables against the delivery plan</w:t>
            </w:r>
          </w:p>
        </w:tc>
        <w:tc>
          <w:tcPr>
            <w:tcW w:type="dxa" w:w="3742"/>
          </w:tcPr>
          <w:p>
            <w:pPr>
              <w:spacing w:after="40"/>
            </w:pPr>
            <w:r>
              <w:rPr>
                <w:sz w:val="17"/>
              </w:rPr>
            </w:r>
            <w:r>
              <w:rPr>
                <w:b w:val="0"/>
                <w:sz w:val="17"/>
              </w:rPr>
              <w:t>Complete for the stage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health</w:t>
            </w:r>
          </w:p>
        </w:tc>
        <w:tc>
          <w:tcPr>
            <w:tcW w:type="dxa" w:w="3742"/>
          </w:tcPr>
          <w:p>
            <w:pPr>
              <w:spacing w:after="40"/>
            </w:pPr>
            <w:r>
              <w:rPr>
                <w:sz w:val="17"/>
              </w:rPr>
            </w:r>
            <w:r>
              <w:rPr>
                <w:b w:val="0"/>
                <w:sz w:val="17"/>
              </w:rPr>
              <w:t>Within the agreed tolerance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classification against the specification</w:t>
            </w:r>
          </w:p>
        </w:tc>
        <w:tc>
          <w:tcPr>
            <w:tcW w:type="dxa" w:w="3742"/>
          </w:tcPr>
          <w:p>
            <w:pPr>
              <w:spacing w:after="40"/>
            </w:pPr>
            <w:r>
              <w:rPr>
                <w:sz w:val="17"/>
              </w:rPr>
            </w:r>
            <w:r>
              <w:rPr>
                <w:b w:val="0"/>
                <w:sz w:val="17"/>
              </w:rPr>
              <w:t>No unaccepted gaps</w:t>
            </w:r>
          </w:p>
        </w:tc>
        <w:tc>
          <w:tcPr>
            <w:tcW w:type="dxa" w:w="2608"/>
          </w:tcPr>
          <w:p>
            <w:pPr>
              <w:spacing w:after="40"/>
            </w:pPr>
            <w:r>
              <w:rPr>
                <w:sz w:val="17"/>
              </w:rPr>
            </w:r>
            <w:r>
              <w:rPr>
                <w:b w:val="0"/>
                <w:sz w:val="17"/>
              </w:rPr>
              <w:t>Before each specification issue</w:t>
            </w:r>
          </w:p>
        </w:tc>
      </w:tr>
      <w:tr>
        <w:tc>
          <w:tcPr>
            <w:tcW w:type="dxa" w:w="3061"/>
          </w:tcPr>
          <w:p>
            <w:pPr>
              <w:spacing w:after="40"/>
            </w:pPr>
            <w:r>
              <w:rPr>
                <w:sz w:val="17"/>
              </w:rPr>
            </w:r>
            <w:r>
              <w:rPr>
                <w:b w:val="0"/>
                <w:sz w:val="17"/>
              </w:rPr>
              <w:t>Demolition classification (Division 02)</w:t>
            </w:r>
          </w:p>
        </w:tc>
        <w:tc>
          <w:tcPr>
            <w:tcW w:type="dxa" w:w="3742"/>
          </w:tcPr>
          <w:p>
            <w:pPr>
              <w:spacing w:after="40"/>
            </w:pPr>
            <w:r>
              <w:rPr>
                <w:sz w:val="17"/>
              </w:rPr>
            </w:r>
            <w:r>
              <w:rPr>
                <w:b w:val="0"/>
                <w:sz w:val="17"/>
              </w:rPr>
              <w:t>Complete — see Section 10.3</w:t>
            </w:r>
          </w:p>
        </w:tc>
        <w:tc>
          <w:tcPr>
            <w:tcW w:type="dxa" w:w="2608"/>
          </w:tcPr>
          <w:p>
            <w:pPr>
              <w:spacing w:after="40"/>
            </w:pPr>
            <w:r>
              <w:rPr>
                <w:sz w:val="17"/>
              </w:rPr>
            </w:r>
            <w:r>
              <w:rPr>
                <w:b w:val="0"/>
                <w:sz w:val="17"/>
              </w:rPr>
              <w:t>Before Deliverable B and before each specification reconciliation</w:t>
            </w:r>
          </w:p>
        </w:tc>
      </w:tr>
      <w:tr>
        <w:tc>
          <w:tcPr>
            <w:tcW w:type="dxa" w:w="3061"/>
          </w:tcPr>
          <w:p>
            <w:pPr>
              <w:spacing w:after="40"/>
            </w:pPr>
            <w:r>
              <w:rPr>
                <w:sz w:val="17"/>
              </w:rPr>
            </w:r>
            <w:r>
              <w:rPr>
                <w:b w:val="0"/>
                <w:sz w:val="17"/>
              </w:rPr>
              <w:t>Asset data capture</w:t>
            </w:r>
          </w:p>
        </w:tc>
        <w:tc>
          <w:tcPr>
            <w:tcW w:type="dxa" w:w="3742"/>
          </w:tcPr>
          <w:p>
            <w:pPr>
              <w:spacing w:after="40"/>
            </w:pPr>
            <w:r>
              <w:rPr>
                <w:sz w:val="17"/>
              </w:rPr>
            </w:r>
            <w:r>
              <w:rPr>
                <w:b w:val="0"/>
                <w:sz w:val="17"/>
              </w:rPr>
              <w:t>On programme against the capture plan</w:t>
            </w:r>
          </w:p>
        </w:tc>
        <w:tc>
          <w:tcPr>
            <w:tcW w:type="dxa" w:w="2608"/>
          </w:tcPr>
          <w:p>
            <w:pPr>
              <w:spacing w:after="40"/>
            </w:pPr>
            <w:r>
              <w:rPr>
                <w:sz w:val="17"/>
              </w:rPr>
            </w:r>
            <w:r>
              <w:rPr>
                <w:b w:val="0"/>
                <w:sz w:val="17"/>
              </w:rPr>
              <w:t>Monthly from Stage 3.1</w:t>
            </w:r>
          </w:p>
        </w:tc>
      </w:tr>
    </w:tbl>
    <w:p>
      <w:pPr>
        <w:spacing w:after="40"/>
      </w:pPr>
    </w:p>
    <w:p>
      <w:pPr>
        <w:pStyle w:val="Heading2"/>
      </w:pPr>
      <w:r>
        <w:t>10.2  Reporting of scope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validation report states the number of elements examined. A percentage expressed without a population is not evidence of compliance. Where a check does not apply to a category, the report discloses the categories excluded from the run.</w:t>
            </w:r>
          </w:p>
        </w:tc>
      </w:tr>
    </w:tbl>
    <w:p>
      <w:pPr>
        <w:spacing w:after="40"/>
      </w:pPr>
    </w:p>
    <w:p>
      <w:pPr>
        <w:pStyle w:val="Heading2"/>
      </w:pPr>
      <w:r>
        <w:t>10.3  Manual classification of demolition</w:t>
      </w:r>
    </w:p>
    <w:p>
      <w:r>
        <w:rPr>
          <w:b w:val="0"/>
          <w:i w:val="0"/>
        </w:rPr>
        <w:t>Deliverable B includes an existing conditions and removals plan. Demolition cannot be classified automatically: classification is resolved from category, family, type and system, whereas demolition is expressed in the authoring tool through the phase in which an element is demolished, which the classification process does not receive. Rules based on element naming were considered and rejected, as they would have presented as coverage while matching nothing.</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Item</w:t>
            </w:r>
          </w:p>
        </w:tc>
        <w:tc>
          <w:tcPr>
            <w:tcW w:type="dxa" w:w="7370"/>
            <w:shd w:val="clear" w:fill="E8EDF3"/>
          </w:tcPr>
          <w:p>
            <w:r/>
            <w:r>
              <w:rPr>
                <w:b/>
                <w:color w:val="1F3654"/>
                <w:sz w:val="17"/>
              </w:rPr>
              <w:t>Arrangement</w:t>
            </w:r>
          </w:p>
        </w:tc>
      </w:tr>
      <w:tr>
        <w:tc>
          <w:tcPr>
            <w:tcW w:type="dxa" w:w="2041"/>
          </w:tcPr>
          <w:p>
            <w:pPr>
              <w:spacing w:after="40"/>
            </w:pPr>
            <w:r>
              <w:rPr>
                <w:sz w:val="17"/>
              </w:rPr>
            </w:r>
            <w:r>
              <w:rPr>
                <w:b w:val="0"/>
                <w:sz w:val="17"/>
              </w:rPr>
              <w:t>Owner of this task</w:t>
            </w:r>
          </w:p>
        </w:tc>
        <w:tc>
          <w:tcPr>
            <w:tcW w:type="dxa" w:w="7370"/>
          </w:tcPr>
          <w:p>
            <w:pPr>
              <w:spacing w:after="40"/>
            </w:pPr>
            <w:r>
              <w:rPr>
                <w:sz w:val="17"/>
              </w:rPr>
            </w:r>
            <w:r>
              <w:rPr>
                <w:b w:val="0"/>
                <w:sz w:val="17"/>
              </w:rPr>
              <w:t>[FILL — name and role]</w:t>
            </w:r>
          </w:p>
        </w:tc>
      </w:tr>
      <w:tr>
        <w:tc>
          <w:tcPr>
            <w:tcW w:type="dxa" w:w="2041"/>
          </w:tcPr>
          <w:p>
            <w:pPr>
              <w:spacing w:after="40"/>
            </w:pPr>
            <w:r>
              <w:rPr>
                <w:sz w:val="17"/>
              </w:rPr>
            </w:r>
            <w:r>
              <w:rPr>
                <w:b w:val="0"/>
                <w:sz w:val="17"/>
              </w:rPr>
              <w:t>Method</w:t>
            </w:r>
          </w:p>
        </w:tc>
        <w:tc>
          <w:tcPr>
            <w:tcW w:type="dxa" w:w="7370"/>
          </w:tcPr>
          <w:p>
            <w:pPr>
              <w:spacing w:after="40"/>
            </w:pPr>
            <w:r>
              <w:rPr>
                <w:sz w:val="17"/>
              </w:rPr>
            </w:r>
            <w:r>
              <w:rPr>
                <w:b w:val="0"/>
                <w:sz w:val="17"/>
              </w:rPr>
              <w:t>Either add Division 02 entries to the project classification map, keyed on a demolition type-naming convention agreed at kick-off, or write the classification directly onto the demolition scope</w:t>
            </w:r>
          </w:p>
        </w:tc>
      </w:tr>
      <w:tr>
        <w:tc>
          <w:tcPr>
            <w:tcW w:type="dxa" w:w="2041"/>
          </w:tcPr>
          <w:p>
            <w:pPr>
              <w:spacing w:after="40"/>
            </w:pPr>
            <w:r>
              <w:rPr>
                <w:sz w:val="17"/>
              </w:rPr>
            </w:r>
            <w:r>
              <w:rPr>
                <w:b w:val="0"/>
                <w:sz w:val="17"/>
              </w:rPr>
              <w:t>Timing</w:t>
            </w:r>
          </w:p>
        </w:tc>
        <w:tc>
          <w:tcPr>
            <w:tcW w:type="dxa" w:w="7370"/>
          </w:tcPr>
          <w:p>
            <w:pPr>
              <w:spacing w:after="40"/>
            </w:pPr>
            <w:r>
              <w:rPr>
                <w:sz w:val="17"/>
              </w:rPr>
            </w:r>
            <w:r>
              <w:rPr>
                <w:b w:val="0"/>
                <w:sz w:val="17"/>
              </w:rPr>
              <w:t>Before each specification reconciliation. If omitted, the Appointing Party Division 02 specification sections report as over-specification and the reconciliation reads as complete when it is not</w:t>
            </w:r>
          </w:p>
        </w:tc>
      </w:tr>
    </w:tbl>
    <w:p>
      <w:pPr>
        <w:spacing w:after="40"/>
      </w:pPr>
    </w:p>
    <w:p>
      <w:r>
        <w:br w:type="page"/>
      </w:r>
    </w:p>
    <w:p>
      <w:pPr>
        <w:pStyle w:val="Heading1"/>
        <w:pBdr>
          <w:bottom w:val="single" w:sz="8" w:space="4" w:color="1F3654"/>
        </w:pBdr>
      </w:pPr>
      <w:r>
        <w:t>11  FF&amp;E, handover and operations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Arrangement</w:t>
            </w:r>
          </w:p>
        </w:tc>
      </w:tr>
      <w:tr>
        <w:tc>
          <w:tcPr>
            <w:tcW w:type="dxa" w:w="2268"/>
          </w:tcPr>
          <w:p>
            <w:pPr>
              <w:spacing w:after="40"/>
            </w:pPr>
            <w:r>
              <w:rPr>
                <w:sz w:val="17"/>
              </w:rPr>
            </w:r>
            <w:r>
              <w:rPr>
                <w:b w:val="0"/>
                <w:sz w:val="17"/>
              </w:rPr>
              <w:t>FF&amp;E and finishes</w:t>
            </w:r>
          </w:p>
        </w:tc>
        <w:tc>
          <w:tcPr>
            <w:tcW w:type="dxa" w:w="7143"/>
          </w:tcPr>
          <w:p>
            <w:pPr>
              <w:spacing w:after="40"/>
            </w:pPr>
            <w:r>
              <w:rPr>
                <w:sz w:val="17"/>
              </w:rPr>
            </w:r>
            <w:r>
              <w:rPr>
                <w:b w:val="0"/>
                <w:sz w:val="17"/>
              </w:rPr>
              <w:t>Fohlio is the Appointing Party source of truth. The model carries a reference to the Fohlio record and does not duplicate it. Information is exchanged each cycle, matched on room number, with a difference report reviewed before any data is written to the model</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Produced from the coordinated models at Deliverables B and C</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 produced from the record model at Deliverable D</w:t>
            </w:r>
          </w:p>
        </w:tc>
      </w:tr>
      <w:tr>
        <w:tc>
          <w:tcPr>
            <w:tcW w:type="dxa" w:w="2268"/>
          </w:tcPr>
          <w:p>
            <w:pPr>
              <w:spacing w:after="40"/>
            </w:pPr>
            <w:r>
              <w:rPr>
                <w:sz w:val="17"/>
              </w:rPr>
            </w:r>
            <w:r>
              <w:rPr>
                <w:b w:val="0"/>
                <w:sz w:val="17"/>
              </w:rPr>
              <w:t>Operation and maintenance information</w:t>
            </w:r>
          </w:p>
        </w:tc>
        <w:tc>
          <w:tcPr>
            <w:tcW w:type="dxa" w:w="7143"/>
          </w:tcPr>
          <w:p>
            <w:pPr>
              <w:spacing w:after="40"/>
            </w:pPr>
            <w:r>
              <w:rPr>
                <w:sz w:val="17"/>
              </w:rPr>
            </w:r>
            <w:r>
              <w:rPr>
                <w:b w:val="0"/>
                <w:sz w:val="17"/>
              </w:rPr>
              <w:t>Compiled through the FF&amp;E and O&amp;M system and aligned to the record model asset identifiers</w:t>
            </w:r>
          </w:p>
        </w:tc>
      </w:tr>
      <w:tr>
        <w:tc>
          <w:tcPr>
            <w:tcW w:type="dxa" w:w="2268"/>
          </w:tcPr>
          <w:p>
            <w:pPr>
              <w:spacing w:after="40"/>
            </w:pPr>
            <w:r>
              <w:rPr>
                <w:sz w:val="17"/>
              </w:rPr>
            </w:r>
            <w:r>
              <w:rPr>
                <w:b w:val="0"/>
                <w:sz w:val="17"/>
              </w:rPr>
              <w:t>Building management system</w:t>
            </w:r>
          </w:p>
        </w:tc>
        <w:tc>
          <w:tcPr>
            <w:tcW w:type="dxa" w:w="7143"/>
          </w:tcPr>
          <w:p>
            <w:pPr>
              <w:spacing w:after="40"/>
            </w:pPr>
            <w:r>
              <w:rPr>
                <w:sz w:val="17"/>
              </w:rPr>
            </w:r>
            <w:r>
              <w:rPr>
                <w:b w:val="0"/>
                <w:sz w:val="17"/>
              </w:rPr>
              <w:t>The commissioning point list is produced from the model at Stage 3.1. At Stage 3.3 the model equipment and points are reconciled against the live station and differences resolved with the controls contractor</w:t>
            </w:r>
          </w:p>
        </w:tc>
      </w:tr>
      <w:tr>
        <w:tc>
          <w:tcPr>
            <w:tcW w:type="dxa" w:w="2268"/>
          </w:tcPr>
          <w:p>
            <w:pPr>
              <w:spacing w:after="40"/>
            </w:pPr>
            <w:r>
              <w:rPr>
                <w:sz w:val="17"/>
              </w:rPr>
            </w:r>
            <w:r>
              <w:rPr>
                <w:b w:val="0"/>
                <w:sz w:val="17"/>
              </w:rPr>
              <w:t>As-built</w:t>
            </w:r>
          </w:p>
        </w:tc>
        <w:tc>
          <w:tcPr>
            <w:tcW w:type="dxa" w:w="7143"/>
          </w:tcPr>
          <w:p>
            <w:pPr>
              <w:spacing w:after="40"/>
            </w:pPr>
            <w:r>
              <w:rPr>
                <w:sz w:val="17"/>
              </w:rPr>
            </w:r>
            <w:r>
              <w:rPr>
                <w:b w:val="0"/>
                <w:sz w:val="17"/>
              </w:rPr>
              <w:t>The model is verified to LOD 500 at Deliverable D</w:t>
            </w:r>
          </w:p>
        </w:tc>
      </w:tr>
    </w:tbl>
    <w:p>
      <w:pPr>
        <w:spacing w:after="40"/>
      </w:pPr>
    </w:p>
    <w:p>
      <w:r>
        <w:br w:type="page"/>
      </w:r>
    </w:p>
    <w:p>
      <w:pPr>
        <w:pStyle w:val="Heading1"/>
        <w:pBdr>
          <w:bottom w:val="single" w:sz="8" w:space="4" w:color="1F3654"/>
        </w:pBdr>
      </w:pPr>
      <w:r>
        <w:t>12  Training and competence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494"/>
            <w:shd w:val="clear" w:fill="E8EDF3"/>
          </w:tcPr>
          <w:p>
            <w:r/>
            <w:r>
              <w:rPr>
                <w:b/>
                <w:color w:val="1F3654"/>
                <w:sz w:val="17"/>
              </w:rPr>
              <w:t>Audience</w:t>
            </w:r>
          </w:p>
        </w:tc>
        <w:tc>
          <w:tcPr>
            <w:tcW w:type="dxa" w:w="4649"/>
            <w:shd w:val="clear" w:fill="E8EDF3"/>
          </w:tcPr>
          <w:p>
            <w:r/>
            <w:r>
              <w:rPr>
                <w:b/>
                <w:color w:val="1F3654"/>
                <w:sz w:val="17"/>
              </w:rPr>
              <w:t>Subject</w:t>
            </w:r>
          </w:p>
        </w:tc>
        <w:tc>
          <w:tcPr>
            <w:tcW w:type="dxa" w:w="2268"/>
            <w:shd w:val="clear" w:fill="E8EDF3"/>
          </w:tcPr>
          <w:p>
            <w:r/>
            <w:r>
              <w:rPr>
                <w:b/>
                <w:color w:val="1F3654"/>
                <w:sz w:val="17"/>
              </w:rPr>
              <w:t>When</w:t>
            </w:r>
          </w:p>
        </w:tc>
      </w:tr>
      <w:tr>
        <w:tc>
          <w:tcPr>
            <w:tcW w:type="dxa" w:w="2494"/>
          </w:tcPr>
          <w:p>
            <w:pPr>
              <w:spacing w:after="40"/>
            </w:pPr>
            <w:r>
              <w:rPr>
                <w:sz w:val="17"/>
              </w:rPr>
            </w:r>
            <w:r>
              <w:rPr>
                <w:b w:val="0"/>
                <w:sz w:val="17"/>
              </w:rPr>
              <w:t>All task teams</w:t>
            </w:r>
          </w:p>
        </w:tc>
        <w:tc>
          <w:tcPr>
            <w:tcW w:type="dxa" w:w="4649"/>
          </w:tcPr>
          <w:p>
            <w:pPr>
              <w:spacing w:after="40"/>
            </w:pPr>
            <w:r>
              <w:rPr>
                <w:sz w:val="17"/>
              </w:rPr>
            </w:r>
            <w:r>
              <w:rPr>
                <w:b w:val="0"/>
                <w:sz w:val="17"/>
              </w:rPr>
              <w:t>Common Data Environment, container naming, level of information need, coordination process and the pre-share check</w:t>
            </w:r>
          </w:p>
        </w:tc>
        <w:tc>
          <w:tcPr>
            <w:tcW w:type="dxa" w:w="2268"/>
          </w:tcPr>
          <w:p>
            <w:pPr>
              <w:spacing w:after="40"/>
            </w:pPr>
            <w:r>
              <w:rPr>
                <w:sz w:val="17"/>
              </w:rPr>
            </w:r>
            <w:r>
              <w:rPr>
                <w:b w:val="0"/>
                <w:sz w:val="17"/>
              </w:rPr>
              <w:t>Mobilisation</w:t>
            </w:r>
          </w:p>
        </w:tc>
      </w:tr>
      <w:tr>
        <w:tc>
          <w:tcPr>
            <w:tcW w:type="dxa" w:w="2494"/>
          </w:tcPr>
          <w:p>
            <w:pPr>
              <w:spacing w:after="40"/>
            </w:pPr>
            <w:r>
              <w:rPr>
                <w:sz w:val="17"/>
              </w:rPr>
            </w:r>
            <w:r>
              <w:rPr>
                <w:b w:val="0"/>
                <w:sz w:val="17"/>
              </w:rPr>
              <w:t>Task Team Managers</w:t>
            </w:r>
          </w:p>
        </w:tc>
        <w:tc>
          <w:tcPr>
            <w:tcW w:type="dxa" w:w="4649"/>
          </w:tcPr>
          <w:p>
            <w:pPr>
              <w:spacing w:after="40"/>
            </w:pPr>
            <w:r>
              <w:rPr>
                <w:sz w:val="17"/>
              </w:rPr>
            </w:r>
            <w:r>
              <w:rPr>
                <w:b w:val="0"/>
                <w:sz w:val="17"/>
              </w:rPr>
              <w:t>Delivery planning and data requirements</w:t>
            </w:r>
          </w:p>
        </w:tc>
        <w:tc>
          <w:tcPr>
            <w:tcW w:type="dxa" w:w="2268"/>
          </w:tcPr>
          <w:p>
            <w:pPr>
              <w:spacing w:after="40"/>
            </w:pPr>
            <w:r>
              <w:rPr>
                <w:sz w:val="17"/>
              </w:rPr>
            </w:r>
            <w:r>
              <w:rPr>
                <w:b w:val="0"/>
                <w:sz w:val="17"/>
              </w:rPr>
              <w:t>Mobilisation and each stage</w:t>
            </w:r>
          </w:p>
        </w:tc>
      </w:tr>
      <w:tr>
        <w:tc>
          <w:tcPr>
            <w:tcW w:type="dxa" w:w="2494"/>
          </w:tcPr>
          <w:p>
            <w:pPr>
              <w:spacing w:after="40"/>
            </w:pPr>
            <w:r>
              <w:rPr>
                <w:sz w:val="17"/>
              </w:rPr>
            </w:r>
            <w:r>
              <w:rPr>
                <w:b w:val="0"/>
                <w:sz w:val="17"/>
              </w:rPr>
              <w:t>Contractor and specialists</w:t>
            </w:r>
          </w:p>
        </w:tc>
        <w:tc>
          <w:tcPr>
            <w:tcW w:type="dxa" w:w="4649"/>
          </w:tcPr>
          <w:p>
            <w:pPr>
              <w:spacing w:after="40"/>
            </w:pPr>
            <w:r>
              <w:rPr>
                <w:sz w:val="17"/>
              </w:rPr>
            </w:r>
            <w:r>
              <w:rPr>
                <w:b w:val="0"/>
                <w:sz w:val="17"/>
              </w:rPr>
              <w:t>As-built capture and asset data requirements</w:t>
            </w:r>
          </w:p>
        </w:tc>
        <w:tc>
          <w:tcPr>
            <w:tcW w:type="dxa" w:w="2268"/>
          </w:tcPr>
          <w:p>
            <w:pPr>
              <w:spacing w:after="40"/>
            </w:pPr>
            <w:r>
              <w:rPr>
                <w:sz w:val="17"/>
              </w:rPr>
            </w:r>
            <w:r>
              <w:rPr>
                <w:b w:val="0"/>
                <w:sz w:val="17"/>
              </w:rPr>
              <w:t>Before Stage 3.1</w:t>
            </w:r>
          </w:p>
        </w:tc>
      </w:tr>
      <w:tr>
        <w:tc>
          <w:tcPr>
            <w:tcW w:type="dxa" w:w="2494"/>
          </w:tcPr>
          <w:p>
            <w:pPr>
              <w:spacing w:after="40"/>
            </w:pPr>
            <w:r>
              <w:rPr>
                <w:sz w:val="17"/>
              </w:rPr>
            </w:r>
            <w:r>
              <w:rPr>
                <w:b w:val="0"/>
                <w:sz w:val="17"/>
              </w:rPr>
              <w:t>Operator and facilities management</w:t>
            </w:r>
          </w:p>
        </w:tc>
        <w:tc>
          <w:tcPr>
            <w:tcW w:type="dxa" w:w="4649"/>
          </w:tcPr>
          <w:p>
            <w:pPr>
              <w:spacing w:after="40"/>
            </w:pPr>
            <w:r>
              <w:rPr>
                <w:sz w:val="17"/>
              </w:rPr>
            </w:r>
            <w:r>
              <w:rPr>
                <w:b w:val="0"/>
                <w:sz w:val="17"/>
              </w:rPr>
              <w:t>Handover data, O&amp;M and building management system requirements</w:t>
            </w:r>
          </w:p>
        </w:tc>
        <w:tc>
          <w:tcPr>
            <w:tcW w:type="dxa" w:w="2268"/>
          </w:tcPr>
          <w:p>
            <w:pPr>
              <w:spacing w:after="40"/>
            </w:pPr>
            <w:r>
              <w:rPr>
                <w:sz w:val="17"/>
              </w:rPr>
            </w:r>
            <w:r>
              <w:rPr>
                <w:b w:val="0"/>
                <w:sz w:val="17"/>
              </w:rPr>
              <w:t>Before handover</w:t>
            </w:r>
          </w:p>
        </w:tc>
      </w:tr>
    </w:tbl>
    <w:p>
      <w:pPr>
        <w:spacing w:after="40"/>
      </w:pPr>
    </w:p>
    <w:p>
      <w:r>
        <w:rPr>
          <w:b w:val="0"/>
          <w:i w:val="0"/>
        </w:rPr>
        <w:t>The kickoff agenda is set out in the Project Delivery Playbook, Appendix C. Competence of individuals nominated to task teams is confirmed by the appointed party.</w:t>
      </w:r>
    </w:p>
    <w:p>
      <w:r>
        <w:br w:type="page"/>
      </w:r>
    </w:p>
    <w:p>
      <w:pPr>
        <w:pStyle w:val="Heading1"/>
        <w:pBdr>
          <w:bottom w:val="single" w:sz="8" w:space="4" w:color="1F3654"/>
        </w:pBdr>
      </w:pPr>
      <w:r>
        <w:t>13  Risks and mitigation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061"/>
            <w:shd w:val="clear" w:fill="E8EDF3"/>
          </w:tcPr>
          <w:p>
            <w:r/>
            <w:r>
              <w:rPr>
                <w:b/>
                <w:color w:val="1F3654"/>
                <w:sz w:val="16"/>
              </w:rPr>
              <w:t>Risk</w:t>
            </w:r>
          </w:p>
        </w:tc>
        <w:tc>
          <w:tcPr>
            <w:tcW w:type="dxa" w:w="1020"/>
            <w:shd w:val="clear" w:fill="E8EDF3"/>
          </w:tcPr>
          <w:p>
            <w:r/>
            <w:r>
              <w:rPr>
                <w:b/>
                <w:color w:val="1F3654"/>
                <w:sz w:val="16"/>
              </w:rPr>
              <w:t>Impact</w:t>
            </w:r>
          </w:p>
        </w:tc>
        <w:tc>
          <w:tcPr>
            <w:tcW w:type="dxa" w:w="3628"/>
            <w:shd w:val="clear" w:fill="E8EDF3"/>
          </w:tcPr>
          <w:p>
            <w:r/>
            <w:r>
              <w:rPr>
                <w:b/>
                <w:color w:val="1F3654"/>
                <w:sz w:val="16"/>
              </w:rPr>
              <w:t>Mitigation</w:t>
            </w:r>
          </w:p>
        </w:tc>
        <w:tc>
          <w:tcPr>
            <w:tcW w:type="dxa" w:w="1701"/>
            <w:shd w:val="clear" w:fill="E8EDF3"/>
          </w:tcPr>
          <w:p>
            <w:r/>
            <w:r>
              <w:rPr>
                <w:b/>
                <w:color w:val="1F3654"/>
                <w:sz w:val="16"/>
              </w:rPr>
              <w:t>Owner</w:t>
            </w:r>
          </w:p>
        </w:tc>
      </w:tr>
      <w:tr>
        <w:tc>
          <w:tcPr>
            <w:tcW w:type="dxa" w:w="3061"/>
          </w:tcPr>
          <w:p>
            <w:pPr>
              <w:spacing w:after="40"/>
            </w:pPr>
            <w:r>
              <w:rPr>
                <w:sz w:val="16"/>
              </w:rPr>
            </w:r>
            <w:r>
              <w:rPr>
                <w:b w:val="0"/>
                <w:sz w:val="16"/>
              </w:rPr>
              <w:t>Appointing Party standards issued after mobilisation, affecting naming or level of information need</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Standards are held as project configuration rather than embedded in content, so adoption is a configuration change rather than rework</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Originator code length unresolved (Section 4.2.1)</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Confirmed in Week 1 of mobilisation, before any container is numbered</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Uncoordinated information</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CDE governance, the fortnightly cycle, and automated validation before every share</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Late deliverables</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Delivery plan tracking with monthly status reporting</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Weak volume attribution through absent rooms or worksets</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Rooms placed before the first share; attribution confidence audited at every gate</w:t>
            </w:r>
          </w:p>
        </w:tc>
        <w:tc>
          <w:tcPr>
            <w:tcW w:type="dxa" w:w="1701"/>
          </w:tcPr>
          <w:p>
            <w:pPr>
              <w:spacing w:after="40"/>
            </w:pPr>
            <w:r>
              <w:rPr>
                <w:sz w:val="16"/>
              </w:rPr>
            </w:r>
            <w:r>
              <w:rPr>
                <w:b w:val="0"/>
                <w:sz w:val="16"/>
              </w:rPr>
              <w:t>Task Team Managers</w:t>
            </w:r>
          </w:p>
        </w:tc>
      </w:tr>
      <w:tr>
        <w:tc>
          <w:tcPr>
            <w:tcW w:type="dxa" w:w="3061"/>
          </w:tcPr>
          <w:p>
            <w:pPr>
              <w:spacing w:after="40"/>
            </w:pPr>
            <w:r>
              <w:rPr>
                <w:sz w:val="16"/>
              </w:rPr>
            </w:r>
            <w:r>
              <w:rPr>
                <w:b w:val="0"/>
                <w:sz w:val="16"/>
              </w:rPr>
              <w:t>Asset data deferred to close-out</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Asset data capture begins at Stage 3.1 and is reported monthly</w:t>
            </w:r>
          </w:p>
        </w:tc>
        <w:tc>
          <w:tcPr>
            <w:tcW w:type="dxa" w:w="1701"/>
          </w:tcPr>
          <w:p>
            <w:pPr>
              <w:spacing w:after="40"/>
            </w:pPr>
            <w:r>
              <w:rPr>
                <w:sz w:val="16"/>
              </w:rPr>
            </w:r>
            <w:r>
              <w:rPr>
                <w:b w:val="0"/>
                <w:sz w:val="16"/>
              </w:rPr>
              <w:t>Contractor</w:t>
            </w:r>
          </w:p>
        </w:tc>
      </w:tr>
      <w:tr>
        <w:tc>
          <w:tcPr>
            <w:tcW w:type="dxa" w:w="3061"/>
          </w:tcPr>
          <w:p>
            <w:pPr>
              <w:spacing w:after="40"/>
            </w:pPr>
            <w:r>
              <w:rPr>
                <w:sz w:val="16"/>
              </w:rPr>
            </w:r>
            <w:r>
              <w:rPr>
                <w:b w:val="0"/>
                <w:sz w:val="16"/>
              </w:rPr>
              <w:t>Divergence between the model and the FF&amp;E record</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Monthly currency check reported in the status report</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Demolition classification omitted (Section 10.3)</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Named owner and a defined method, checked before each specification reconciliation</w:t>
            </w:r>
          </w:p>
        </w:tc>
        <w:tc>
          <w:tcPr>
            <w:tcW w:type="dxa" w:w="1701"/>
          </w:tcPr>
          <w:p>
            <w:pPr>
              <w:spacing w:after="40"/>
            </w:pPr>
            <w:r>
              <w:rPr>
                <w:sz w:val="16"/>
              </w:rPr>
            </w:r>
            <w:r>
              <w:rPr>
                <w:b w:val="0"/>
                <w:sz w:val="16"/>
              </w:rPr>
              <w:t>[FILL]</w:t>
            </w:r>
          </w:p>
        </w:tc>
      </w:tr>
      <w:tr>
        <w:tc>
          <w:tcPr>
            <w:tcW w:type="dxa" w:w="3061"/>
          </w:tcPr>
          <w:p>
            <w:pPr>
              <w:spacing w:after="40"/>
            </w:pPr>
            <w:r>
              <w:rPr>
                <w:sz w:val="16"/>
              </w:rPr>
            </w:r>
            <w:r>
              <w:rPr>
                <w:b w:val="0"/>
                <w:sz w:val="16"/>
              </w:rPr>
              <w:t>[FILL]</w:t>
            </w:r>
          </w:p>
        </w:tc>
        <w:tc>
          <w:tcPr>
            <w:tcW w:type="dxa" w:w="1020"/>
          </w:tcPr>
          <w:p>
            <w:pPr>
              <w:spacing w:after="40"/>
            </w:pPr>
            <w:r>
              <w:rPr>
                <w:sz w:val="16"/>
              </w:rPr>
            </w:r>
          </w:p>
        </w:tc>
        <w:tc>
          <w:tcPr>
            <w:tcW w:type="dxa" w:w="3628"/>
          </w:tcPr>
          <w:p>
            <w:pPr>
              <w:spacing w:after="40"/>
            </w:pPr>
            <w:r>
              <w:rPr>
                <w:sz w:val="16"/>
              </w:rPr>
            </w:r>
          </w:p>
        </w:tc>
        <w:tc>
          <w:tcPr>
            <w:tcW w:type="dxa" w:w="1701"/>
          </w:tcPr>
          <w:p>
            <w:pPr>
              <w:spacing w:after="40"/>
            </w:pPr>
            <w:r>
              <w:rPr>
                <w:sz w:val="16"/>
              </w:rPr>
            </w:r>
          </w:p>
        </w:tc>
      </w:tr>
    </w:tbl>
    <w:p>
      <w:pPr>
        <w:spacing w:after="40"/>
      </w:pPr>
    </w:p>
    <w:p>
      <w:r>
        <w:br w:type="page"/>
      </w:r>
    </w:p>
    <w:p>
      <w:pPr>
        <w:pStyle w:val="Heading1"/>
        <w:pBdr>
          <w:bottom w:val="single" w:sz="8" w:space="4" w:color="1F3654"/>
        </w:pBdr>
      </w:pPr>
      <w:r>
        <w:t>14  Asset data schedule</w:t>
      </w:r>
    </w:p>
    <w:p>
      <w:r>
        <w:rPr>
          <w:b w:val="0"/>
          <w:i w:val="0"/>
        </w:rPr>
        <w:t>This schedule defines the asset information to be captured during construction and delivered with the record model at Deliverable D. It is tiered by what the asset is, because a requirement applied uniformly to every element cannot be met. Requiring a serial number on each of several thousand luminaires produces a register completed to perhaps forty per cent, which the facilities team cannot rely on for any of it. A smaller requirement, met in full, is worth more than a complete one met in part.</w:t>
      </w:r>
    </w:p>
    <w:p>
      <w:r>
        <w:rPr>
          <w:b w:val="0"/>
          <w:i w:val="0"/>
        </w:rPr>
        <w:t>Capture begins at Stage 3.1 and is reported monthly. It is verified at the Deliverable D gate.</w:t>
      </w:r>
    </w:p>
    <w:p>
      <w:pPr>
        <w:pStyle w:val="Heading2"/>
      </w:pPr>
      <w:r>
        <w:t>14.1  Tiers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Tier</w:t>
            </w:r>
          </w:p>
        </w:tc>
        <w:tc>
          <w:tcPr>
            <w:tcW w:type="dxa" w:w="3515"/>
            <w:shd w:val="clear" w:fill="E8EDF3"/>
          </w:tcPr>
          <w:p>
            <w:r/>
            <w:r>
              <w:rPr>
                <w:b/>
                <w:color w:val="1F3654"/>
                <w:sz w:val="17"/>
              </w:rPr>
              <w:t>What it covers</w:t>
            </w:r>
          </w:p>
        </w:tc>
        <w:tc>
          <w:tcPr>
            <w:tcW w:type="dxa" w:w="3969"/>
            <w:shd w:val="clear" w:fill="E8EDF3"/>
          </w:tcPr>
          <w:p>
            <w:r/>
            <w:r>
              <w:rPr>
                <w:b/>
                <w:color w:val="1F3654"/>
                <w:sz w:val="17"/>
              </w:rPr>
              <w:t>Categories</w:t>
            </w:r>
          </w:p>
        </w:tc>
      </w:tr>
      <w:tr>
        <w:tc>
          <w:tcPr>
            <w:tcW w:type="dxa" w:w="1928"/>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equipment carrying a nameplate, held under a service contract or connected to the building management system</w:t>
            </w:r>
          </w:p>
        </w:tc>
        <w:tc>
          <w:tcPr>
            <w:tcW w:type="dxa" w:w="3969"/>
          </w:tcPr>
          <w:p>
            <w:pPr>
              <w:spacing w:after="40"/>
            </w:pPr>
            <w:r>
              <w:rPr>
                <w:sz w:val="17"/>
              </w:rPr>
            </w:r>
            <w:r>
              <w:rPr>
                <w:b w:val="0"/>
                <w:sz w:val="17"/>
              </w:rPr>
              <w:t>Mechanical equipment, electrical equipment, specialty equipment (including baptistry plant, audio-visual equipment and lift equipment)</w:t>
            </w:r>
          </w:p>
        </w:tc>
      </w:tr>
      <w:tr>
        <w:tc>
          <w:tcPr>
            <w:tcW w:type="dxa" w:w="1928"/>
          </w:tcPr>
          <w:p>
            <w:pPr>
              <w:spacing w:after="40"/>
            </w:pPr>
            <w:r>
              <w:rPr>
                <w:sz w:val="17"/>
              </w:rPr>
            </w:r>
            <w:r>
              <w:rPr>
                <w:b w:val="0"/>
                <w:sz w:val="17"/>
              </w:rPr>
              <w:t>B  Maintainable devices</w:t>
            </w:r>
          </w:p>
        </w:tc>
        <w:tc>
          <w:tcPr>
            <w:tcW w:type="dxa" w:w="3515"/>
          </w:tcPr>
          <w:p>
            <w:pPr>
              <w:spacing w:after="40"/>
            </w:pPr>
            <w:r>
              <w:rPr>
                <w:sz w:val="17"/>
              </w:rPr>
            </w:r>
            <w:r>
              <w:rPr>
                <w:b w:val="0"/>
                <w:sz w:val="17"/>
              </w:rPr>
              <w:t>High quantity devices with a maintenance regime but no meaningful individual serial number</w:t>
            </w:r>
          </w:p>
        </w:tc>
        <w:tc>
          <w:tcPr>
            <w:tcW w:type="dxa" w:w="3969"/>
          </w:tcPr>
          <w:p>
            <w:pPr>
              <w:spacing w:after="40"/>
            </w:pPr>
            <w:r>
              <w:rPr>
                <w:sz w:val="17"/>
              </w:rPr>
            </w:r>
            <w:r>
              <w:rPr>
                <w:b w:val="0"/>
                <w:sz w:val="17"/>
              </w:rPr>
              <w:t>Lighting fixtures, plumbing fixtures, air terminals, sprinklers, fire alarm devices, electrical fixtures</w:t>
            </w:r>
          </w:p>
        </w:tc>
      </w:tr>
      <w:tr>
        <w:tc>
          <w:tcPr>
            <w:tcW w:type="dxa" w:w="1928"/>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the Appointing Party will need to claim against</w:t>
            </w:r>
          </w:p>
        </w:tc>
        <w:tc>
          <w:tcPr>
            <w:tcW w:type="dxa" w:w="3969"/>
          </w:tcPr>
          <w:p>
            <w:pPr>
              <w:spacing w:after="40"/>
            </w:pPr>
            <w:r>
              <w:rPr>
                <w:sz w:val="17"/>
              </w:rPr>
            </w:r>
            <w:r>
              <w:rPr>
                <w:b w:val="0"/>
                <w:sz w:val="17"/>
              </w:rPr>
              <w:t>Roofs, curtain panels and mullions, doors, windows, casework and joinery</w:t>
            </w:r>
          </w:p>
        </w:tc>
      </w:tr>
      <w:tr>
        <w:tc>
          <w:tcPr>
            <w:tcW w:type="dxa" w:w="1928"/>
          </w:tcPr>
          <w:p>
            <w:pPr>
              <w:spacing w:after="40"/>
            </w:pPr>
            <w:r>
              <w:rPr>
                <w:sz w:val="17"/>
              </w:rPr>
            </w:r>
            <w:r>
              <w:rPr>
                <w:b w:val="0"/>
                <w:sz w:val="17"/>
              </w:rPr>
              <w:t>FF&amp;E</w:t>
            </w:r>
          </w:p>
        </w:tc>
        <w:tc>
          <w:tcPr>
            <w:tcW w:type="dxa" w:w="3515"/>
          </w:tcPr>
          <w:p>
            <w:pPr>
              <w:spacing w:after="40"/>
            </w:pPr>
            <w:r>
              <w:rPr>
                <w:sz w:val="17"/>
              </w:rPr>
            </w:r>
            <w:r>
              <w:rPr>
                <w:b w:val="0"/>
                <w:sz w:val="17"/>
              </w:rPr>
              <w:t>Furniture and loose equipment, reconciled to the FF&amp;E record</w:t>
            </w:r>
          </w:p>
        </w:tc>
        <w:tc>
          <w:tcPr>
            <w:tcW w:type="dxa" w:w="3969"/>
          </w:tcPr>
          <w:p>
            <w:pPr>
              <w:spacing w:after="40"/>
            </w:pPr>
            <w:r>
              <w:rPr>
                <w:sz w:val="17"/>
              </w:rPr>
            </w:r>
            <w:r>
              <w:rPr>
                <w:b w:val="0"/>
                <w:sz w:val="17"/>
              </w:rPr>
              <w:t>Furniture, furniture systems</w:t>
            </w:r>
          </w:p>
        </w:tc>
      </w:tr>
      <w:tr>
        <w:tc>
          <w:tcPr>
            <w:tcW w:type="dxa" w:w="1928"/>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3969"/>
          </w:tcPr>
          <w:p>
            <w:pPr>
              <w:spacing w:after="40"/>
            </w:pPr>
            <w:r>
              <w:rPr>
                <w:sz w:val="17"/>
              </w:rPr>
            </w:r>
            <w:r>
              <w:rPr>
                <w:b w:val="0"/>
                <w:sz w:val="17"/>
              </w:rPr>
              <w:t>Every other category</w:t>
            </w:r>
          </w:p>
        </w:tc>
      </w:tr>
    </w:tbl>
    <w:p>
      <w:pPr>
        <w:spacing w:after="40"/>
      </w:pPr>
    </w:p>
    <w:p>
      <w:pPr>
        <w:pStyle w:val="Heading2"/>
      </w:pPr>
      <w:r>
        <w:t>14.2  Data required by tier</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3515"/>
            <w:shd w:val="clear" w:fill="E8EDF3"/>
          </w:tcPr>
          <w:p>
            <w:r/>
            <w:r>
              <w:rPr>
                <w:b/>
                <w:color w:val="1F3654"/>
                <w:sz w:val="16"/>
              </w:rPr>
              <w:t>Data</w:t>
            </w:r>
          </w:p>
        </w:tc>
        <w:tc>
          <w:tcPr>
            <w:tcW w:type="dxa" w:w="1247"/>
            <w:shd w:val="clear" w:fill="E8EDF3"/>
          </w:tcPr>
          <w:p>
            <w:r/>
            <w:r>
              <w:rPr>
                <w:b/>
                <w:color w:val="1F3654"/>
                <w:sz w:val="16"/>
              </w:rPr>
              <w:t>A</w:t>
            </w:r>
          </w:p>
        </w:tc>
        <w:tc>
          <w:tcPr>
            <w:tcW w:type="dxa" w:w="2041"/>
            <w:shd w:val="clear" w:fill="E8EDF3"/>
          </w:tcPr>
          <w:p>
            <w:r/>
            <w:r>
              <w:rPr>
                <w:b/>
                <w:color w:val="1F3654"/>
                <w:sz w:val="16"/>
              </w:rPr>
              <w:t>B</w:t>
            </w:r>
          </w:p>
        </w:tc>
        <w:tc>
          <w:tcPr>
            <w:tcW w:type="dxa" w:w="1247"/>
            <w:shd w:val="clear" w:fill="E8EDF3"/>
          </w:tcPr>
          <w:p>
            <w:r/>
            <w:r>
              <w:rPr>
                <w:b/>
                <w:color w:val="1F3654"/>
                <w:sz w:val="16"/>
              </w:rPr>
              <w:t>C</w:t>
            </w:r>
          </w:p>
        </w:tc>
        <w:tc>
          <w:tcPr>
            <w:tcW w:type="dxa" w:w="907"/>
            <w:shd w:val="clear" w:fill="E8EDF3"/>
          </w:tcPr>
          <w:p>
            <w:r/>
            <w:r>
              <w:rPr>
                <w:b/>
                <w:color w:val="1F3654"/>
                <w:sz w:val="16"/>
              </w:rPr>
              <w:t>FF&amp;E</w:t>
            </w:r>
          </w:p>
        </w:tc>
        <w:tc>
          <w:tcPr>
            <w:tcW w:type="dxa" w:w="1361"/>
            <w:shd w:val="clear" w:fill="E8EDF3"/>
          </w:tcPr>
          <w:p>
            <w:r/>
            <w:r>
              <w:rPr>
                <w:b/>
                <w:color w:val="1F3654"/>
                <w:sz w:val="16"/>
              </w:rPr>
              <w:t>D</w:t>
            </w:r>
          </w:p>
        </w:tc>
      </w:tr>
      <w:tr>
        <w:tc>
          <w:tcPr>
            <w:tcW w:type="dxa" w:w="3515"/>
          </w:tcPr>
          <w:p>
            <w:pPr>
              <w:spacing w:after="40"/>
            </w:pPr>
            <w:r>
              <w:rPr>
                <w:sz w:val="16"/>
              </w:rPr>
            </w:r>
            <w:r>
              <w:rPr>
                <w:b w:val="0"/>
                <w:sz w:val="16"/>
              </w:rPr>
              <w:t>Asset identifier (the eight-field tag)</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Yes</w:t>
            </w:r>
          </w:p>
        </w:tc>
      </w:tr>
      <w:tr>
        <w:tc>
          <w:tcPr>
            <w:tcW w:type="dxa" w:w="3515"/>
          </w:tcPr>
          <w:p>
            <w:pPr>
              <w:spacing w:after="40"/>
            </w:pPr>
            <w:r>
              <w:rPr>
                <w:sz w:val="16"/>
              </w:rPr>
            </w:r>
            <w:r>
              <w:rPr>
                <w:b w:val="0"/>
                <w:sz w:val="16"/>
              </w:rPr>
              <w:t>Product code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350</w:t>
            </w:r>
          </w:p>
        </w:tc>
      </w:tr>
      <w:tr>
        <w:tc>
          <w:tcPr>
            <w:tcW w:type="dxa" w:w="3515"/>
          </w:tcPr>
          <w:p>
            <w:pPr>
              <w:spacing w:after="40"/>
            </w:pPr>
            <w:r>
              <w:rPr>
                <w:sz w:val="16"/>
              </w:rPr>
            </w:r>
            <w:r>
              <w:rPr>
                <w:b w:val="0"/>
                <w:sz w:val="16"/>
              </w:rPr>
              <w:t>Manufacturer and model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400</w:t>
            </w:r>
          </w:p>
        </w:tc>
      </w:tr>
      <w:tr>
        <w:tc>
          <w:tcPr>
            <w:tcW w:type="dxa" w:w="3515"/>
          </w:tcPr>
          <w:p>
            <w:pPr>
              <w:spacing w:after="40"/>
            </w:pPr>
            <w:r>
              <w:rPr>
                <w:sz w:val="16"/>
              </w:rPr>
            </w:r>
            <w:r>
              <w:rPr>
                <w:b w:val="0"/>
                <w:sz w:val="16"/>
              </w:rPr>
              <w:t>Unique asset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Serial number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Loop and address</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Fire alarm devices only</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Installation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Supplier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guarantor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duration</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expiry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Expected service life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Maintenance interval</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Recommended spares</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Commissioning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FF&amp;E reference</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any future maintenance actually use; a device serial number is not used by anyone once the device is installed.</w:t>
            </w:r>
          </w:p>
        </w:tc>
      </w:tr>
    </w:tbl>
    <w:p>
      <w:pPr>
        <w:spacing w:after="40"/>
      </w:pPr>
    </w:p>
    <w:p>
      <w:pPr>
        <w:pStyle w:val="Heading2"/>
      </w:pPr>
      <w:r>
        <w:t>14.3  Conventions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Date format</w:t>
            </w:r>
          </w:p>
        </w:tc>
        <w:tc>
          <w:tcPr>
            <w:tcW w:type="dxa" w:w="7143"/>
          </w:tcPr>
          <w:p>
            <w:pPr>
              <w:spacing w:after="40"/>
            </w:pPr>
            <w:r>
              <w:rPr>
                <w:sz w:val="17"/>
              </w:rPr>
            </w:r>
            <w:r>
              <w:rPr>
                <w:b w:val="0"/>
                <w:sz w:val="17"/>
              </w:rPr>
              <w:t>YYYY-MM-DD throughout. Date fields are held as text, so nothing enforces the format automatically; a mixed convention is only discovered at close-out</w:t>
            </w:r>
          </w:p>
        </w:tc>
      </w:tr>
      <w:tr>
        <w:tc>
          <w:tcPr>
            <w:tcW w:type="dxa" w:w="2268"/>
          </w:tcPr>
          <w:p>
            <w:pPr>
              <w:spacing w:after="40"/>
            </w:pPr>
            <w:r>
              <w:rPr>
                <w:sz w:val="17"/>
              </w:rPr>
            </w:r>
            <w:r>
              <w:rPr>
                <w:b w:val="0"/>
                <w:sz w:val="17"/>
              </w:rPr>
              <w:t>Warranty duration</w:t>
            </w:r>
          </w:p>
        </w:tc>
        <w:tc>
          <w:tcPr>
            <w:tcW w:type="dxa" w:w="7143"/>
          </w:tcPr>
          <w:p>
            <w:pPr>
              <w:spacing w:after="40"/>
            </w:pPr>
            <w:r>
              <w:rPr>
                <w:sz w:val="17"/>
              </w:rPr>
            </w:r>
            <w:r>
              <w:rPr>
                <w:b w:val="0"/>
                <w:sz w:val="17"/>
              </w:rPr>
              <w:t>Whole years. Where parts and labour differ, both are recorded</w:t>
            </w:r>
          </w:p>
        </w:tc>
      </w:tr>
      <w:tr>
        <w:tc>
          <w:tcPr>
            <w:tcW w:type="dxa" w:w="2268"/>
          </w:tcPr>
          <w:p>
            <w:pPr>
              <w:spacing w:after="40"/>
            </w:pPr>
            <w:r>
              <w:rPr>
                <w:sz w:val="17"/>
              </w:rPr>
            </w:r>
            <w:r>
              <w:rPr>
                <w:b w:val="0"/>
                <w:sz w:val="17"/>
              </w:rPr>
              <w:t>Warranty expiry</w:t>
            </w:r>
          </w:p>
        </w:tc>
        <w:tc>
          <w:tcPr>
            <w:tcW w:type="dxa" w:w="7143"/>
          </w:tcPr>
          <w:p>
            <w:pPr>
              <w:spacing w:after="40"/>
            </w:pPr>
            <w:r>
              <w:rPr>
                <w:sz w:val="17"/>
              </w:rPr>
            </w:r>
            <w:r>
              <w:rPr>
                <w:b w:val="0"/>
                <w:sz w:val="17"/>
              </w:rPr>
              <w:t>The date the warranty period ends. Expiry rather than start is recorded because it is the date that triggers action, and the duration is captured alongside it so the start remains derivable</w:t>
            </w:r>
          </w:p>
        </w:tc>
      </w:tr>
      <w:tr>
        <w:tc>
          <w:tcPr>
            <w:tcW w:type="dxa" w:w="2268"/>
          </w:tcPr>
          <w:p>
            <w:pPr>
              <w:spacing w:after="40"/>
            </w:pPr>
            <w:r>
              <w:rPr>
                <w:sz w:val="17"/>
              </w:rPr>
            </w:r>
            <w:r>
              <w:rPr>
                <w:b w:val="0"/>
                <w:sz w:val="17"/>
              </w:rPr>
              <w:t>Expected service life</w:t>
            </w:r>
          </w:p>
        </w:tc>
        <w:tc>
          <w:tcPr>
            <w:tcW w:type="dxa" w:w="7143"/>
          </w:tcPr>
          <w:p>
            <w:pPr>
              <w:spacing w:after="40"/>
            </w:pPr>
            <w:r>
              <w:rPr>
                <w:sz w:val="17"/>
              </w:rPr>
            </w:r>
            <w:r>
              <w:rPr>
                <w:b w:val="0"/>
                <w:sz w:val="17"/>
              </w:rPr>
              <w:t>Whole years, as stated by the manufacturer</w:t>
            </w:r>
          </w:p>
        </w:tc>
      </w:tr>
      <w:tr>
        <w:tc>
          <w:tcPr>
            <w:tcW w:type="dxa" w:w="2268"/>
          </w:tcPr>
          <w:p>
            <w:pPr>
              <w:spacing w:after="40"/>
            </w:pPr>
            <w:r>
              <w:rPr>
                <w:sz w:val="17"/>
              </w:rPr>
            </w:r>
            <w:r>
              <w:rPr>
                <w:b w:val="0"/>
                <w:sz w:val="17"/>
              </w:rPr>
              <w:t>Maintenance interval</w:t>
            </w:r>
          </w:p>
        </w:tc>
        <w:tc>
          <w:tcPr>
            <w:tcW w:type="dxa" w:w="7143"/>
          </w:tcPr>
          <w:p>
            <w:pPr>
              <w:spacing w:after="40"/>
            </w:pPr>
            <w:r>
              <w:rPr>
                <w:sz w:val="17"/>
              </w:rPr>
            </w:r>
            <w:r>
              <w:rPr>
                <w:b w:val="0"/>
                <w:sz w:val="17"/>
              </w:rPr>
              <w:t>Whole months</w:t>
            </w:r>
          </w:p>
        </w:tc>
      </w:tr>
      <w:tr>
        <w:tc>
          <w:tcPr>
            <w:tcW w:type="dxa" w:w="2268"/>
          </w:tcPr>
          <w:p>
            <w:pPr>
              <w:spacing w:after="40"/>
            </w:pPr>
            <w:r>
              <w:rPr>
                <w:sz w:val="17"/>
              </w:rPr>
            </w:r>
            <w:r>
              <w:rPr>
                <w:b w:val="0"/>
                <w:sz w:val="17"/>
              </w:rPr>
              <w:t>Unique asset reference</w:t>
            </w:r>
          </w:p>
        </w:tc>
        <w:tc>
          <w:tcPr>
            <w:tcW w:type="dxa" w:w="7143"/>
          </w:tcPr>
          <w:p>
            <w:pPr>
              <w:spacing w:after="40"/>
            </w:pPr>
            <w:r>
              <w:rPr>
                <w:sz w:val="17"/>
              </w:rPr>
            </w:r>
            <w:r>
              <w:rPr>
                <w:b w:val="0"/>
                <w:sz w:val="17"/>
              </w:rPr>
              <w:t>Allocated by the Appointing Party numbering convention where one is issued; otherwise the asset identifier is used</w:t>
            </w:r>
          </w:p>
        </w:tc>
      </w:tr>
      <w:tr>
        <w:tc>
          <w:tcPr>
            <w:tcW w:type="dxa" w:w="2268"/>
          </w:tcPr>
          <w:p>
            <w:pPr>
              <w:spacing w:after="40"/>
            </w:pPr>
            <w:r>
              <w:rPr>
                <w:sz w:val="17"/>
              </w:rPr>
            </w:r>
            <w:r>
              <w:rPr>
                <w:b w:val="0"/>
                <w:sz w:val="17"/>
              </w:rPr>
              <w:t>Responsibility</w:t>
            </w:r>
          </w:p>
        </w:tc>
        <w:tc>
          <w:tcPr>
            <w:tcW w:type="dxa" w:w="7143"/>
          </w:tcPr>
          <w:p>
            <w:pPr>
              <w:spacing w:after="40"/>
            </w:pPr>
            <w:r>
              <w:rPr>
                <w:sz w:val="17"/>
              </w:rPr>
            </w:r>
            <w:r>
              <w:rPr>
                <w:b w:val="0"/>
                <w:sz w:val="17"/>
              </w:rPr>
              <w:t>The Contractor captures the data at installation and commissioning. The Information Manager verifies completeness monthly and at the gate</w:t>
            </w:r>
          </w:p>
        </w:tc>
      </w:tr>
    </w:tbl>
    <w:p>
      <w:pPr>
        <w:spacing w:after="40"/>
      </w:pPr>
    </w:p>
    <w:p>
      <w:pPr>
        <w:pStyle w:val="Heading2"/>
      </w:pPr>
      <w:r>
        <w:t>14.4  Reporting</w:t>
      </w:r>
    </w:p>
    <w:p>
      <w:r>
        <w:rPr>
          <w:b w:val="0"/>
          <w:i w:val="0"/>
        </w:rPr>
        <w:t>Completeness is reported monthly from the first month of construction, by tier and by volume, so a shortfall is visible while the installer is still on site. A tier reported below ninety-five per cent at the Deliverable D gate is a gate failure, not an observation.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STATUS</w:t>
            </w:r>
          </w:p>
          <w:p>
            <w:r>
              <w:rPr>
                <w:b w:val="0"/>
                <w:sz w:val="19"/>
              </w:rPr>
              <w:t>This schedule is the project position pending issue of the Appointing Party asset information requirements. On receipt, it is reconciled against them and reissued. It is deliberately narrower than the standard corporate requirement, which applies serial numbers to categories where they cannot realistically be captured.</w:t>
            </w:r>
          </w:p>
        </w:tc>
      </w:tr>
    </w:tbl>
    <w:p>
      <w:pPr>
        <w:spacing w:after="40"/>
      </w:pPr>
    </w:p>
    <w:p>
      <w:r>
        <w:br w:type="page"/>
      </w:r>
    </w:p>
    <w:p>
      <w:pPr>
        <w:pStyle w:val="Heading1"/>
        <w:pBdr>
          <w:bottom w:val="single" w:sz="8" w:space="4" w:color="1F3654"/>
        </w:pBdr>
      </w:pPr>
      <w:r>
        <w:t>15  Appendices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247"/>
            <w:shd w:val="clear" w:fill="E8EDF3"/>
          </w:tcPr>
          <w:p>
            <w:r/>
            <w:r>
              <w:rPr>
                <w:b/>
                <w:color w:val="1F3654"/>
                <w:sz w:val="17"/>
              </w:rPr>
              <w:t>Appendix</w:t>
            </w:r>
          </w:p>
        </w:tc>
        <w:tc>
          <w:tcPr>
            <w:tcW w:type="dxa" w:w="5896"/>
            <w:shd w:val="clear" w:fill="E8EDF3"/>
          </w:tcPr>
          <w:p>
            <w:r/>
            <w:r>
              <w:rPr>
                <w:b/>
                <w:color w:val="1F3654"/>
                <w:sz w:val="17"/>
              </w:rPr>
              <w:t>Content</w:t>
            </w:r>
          </w:p>
        </w:tc>
        <w:tc>
          <w:tcPr>
            <w:tcW w:type="dxa" w:w="2268"/>
            <w:shd w:val="clear" w:fill="E8EDF3"/>
          </w:tcPr>
          <w:p>
            <w:r/>
            <w:r>
              <w:rPr>
                <w:b/>
                <w:color w:val="1F3654"/>
                <w:sz w:val="17"/>
              </w:rPr>
              <w:t>Status</w:t>
            </w:r>
          </w:p>
        </w:tc>
      </w:tr>
      <w:tr>
        <w:tc>
          <w:tcPr>
            <w:tcW w:type="dxa" w:w="1247"/>
          </w:tcPr>
          <w:p>
            <w:pPr>
              <w:spacing w:after="40"/>
            </w:pPr>
            <w:r>
              <w:rPr>
                <w:sz w:val="17"/>
              </w:rPr>
            </w:r>
            <w:r>
              <w:rPr>
                <w:b w:val="0"/>
                <w:sz w:val="17"/>
              </w:rPr>
              <w:t>A</w:t>
            </w:r>
          </w:p>
        </w:tc>
        <w:tc>
          <w:tcPr>
            <w:tcW w:type="dxa" w:w="5896"/>
          </w:tcPr>
          <w:p>
            <w:pPr>
              <w:spacing w:after="40"/>
            </w:pPr>
            <w:r>
              <w:rPr>
                <w:sz w:val="17"/>
              </w:rPr>
            </w:r>
            <w:r>
              <w:rPr>
                <w:b w:val="0"/>
                <w:sz w:val="17"/>
              </w:rPr>
              <w:t>Exchange information requirements (Appointing Party)</w:t>
            </w:r>
          </w:p>
        </w:tc>
        <w:tc>
          <w:tcPr>
            <w:tcW w:type="dxa" w:w="2268"/>
          </w:tcPr>
          <w:p>
            <w:pPr>
              <w:spacing w:after="40"/>
            </w:pPr>
            <w:r>
              <w:rPr>
                <w:sz w:val="17"/>
              </w:rPr>
            </w:r>
            <w:r>
              <w:rPr>
                <w:b w:val="0"/>
                <w:sz w:val="17"/>
              </w:rPr>
              <w:t>Attached / referenced</w:t>
            </w:r>
          </w:p>
        </w:tc>
      </w:tr>
      <w:tr>
        <w:tc>
          <w:tcPr>
            <w:tcW w:type="dxa" w:w="1247"/>
          </w:tcPr>
          <w:p>
            <w:pPr>
              <w:spacing w:after="40"/>
            </w:pPr>
            <w:r>
              <w:rPr>
                <w:sz w:val="17"/>
              </w:rPr>
            </w:r>
            <w:r>
              <w:rPr>
                <w:b w:val="0"/>
                <w:sz w:val="17"/>
              </w:rPr>
              <w:t>B</w:t>
            </w:r>
          </w:p>
        </w:tc>
        <w:tc>
          <w:tcPr>
            <w:tcW w:type="dxa" w:w="5896"/>
          </w:tcPr>
          <w:p>
            <w:pPr>
              <w:spacing w:after="40"/>
            </w:pPr>
            <w:r>
              <w:rPr>
                <w:sz w:val="17"/>
              </w:rPr>
            </w:r>
            <w:r>
              <w:rPr>
                <w:b w:val="0"/>
                <w:sz w:val="17"/>
              </w:rPr>
              <w:t>Master Information Delivery Plan</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C</w:t>
            </w:r>
          </w:p>
        </w:tc>
        <w:tc>
          <w:tcPr>
            <w:tcW w:type="dxa" w:w="5896"/>
          </w:tcPr>
          <w:p>
            <w:pPr>
              <w:spacing w:after="40"/>
            </w:pPr>
            <w:r>
              <w:rPr>
                <w:sz w:val="17"/>
              </w:rPr>
            </w:r>
            <w:r>
              <w:rPr>
                <w:b w:val="0"/>
                <w:sz w:val="17"/>
              </w:rPr>
              <w:t>Task Information Delivery Plans, per appointed party</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D</w:t>
            </w:r>
          </w:p>
        </w:tc>
        <w:tc>
          <w:tcPr>
            <w:tcW w:type="dxa" w:w="5896"/>
          </w:tcPr>
          <w:p>
            <w:pPr>
              <w:spacing w:after="40"/>
            </w:pPr>
            <w:r>
              <w:rPr>
                <w:sz w:val="17"/>
              </w:rPr>
            </w:r>
            <w:r>
              <w:rPr>
                <w:b w:val="0"/>
                <w:sz w:val="17"/>
              </w:rPr>
              <w:t>Responsibility matrix, expanded</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E</w:t>
            </w:r>
          </w:p>
        </w:tc>
        <w:tc>
          <w:tcPr>
            <w:tcW w:type="dxa" w:w="5896"/>
          </w:tcPr>
          <w:p>
            <w:pPr>
              <w:spacing w:after="40"/>
            </w:pPr>
            <w:r>
              <w:rPr>
                <w:sz w:val="17"/>
              </w:rPr>
            </w:r>
            <w:r>
              <w:rPr>
                <w:b w:val="0"/>
                <w:sz w:val="17"/>
              </w:rPr>
              <w:t>Clash matrix</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F</w:t>
            </w:r>
          </w:p>
        </w:tc>
        <w:tc>
          <w:tcPr>
            <w:tcW w:type="dxa" w:w="5896"/>
          </w:tcPr>
          <w:p>
            <w:pPr>
              <w:spacing w:after="40"/>
            </w:pPr>
            <w:r>
              <w:rPr>
                <w:sz w:val="17"/>
              </w:rPr>
            </w:r>
            <w:r>
              <w:rPr>
                <w:b w:val="0"/>
                <w:sz w:val="17"/>
              </w:rPr>
              <w:t>Project Delivery Playbook (KUT-PLN-ZZ-ZZ-RP-Z-0002)</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G</w:t>
            </w:r>
          </w:p>
        </w:tc>
        <w:tc>
          <w:tcPr>
            <w:tcW w:type="dxa" w:w="5896"/>
          </w:tcPr>
          <w:p>
            <w:pPr>
              <w:spacing w:after="40"/>
            </w:pPr>
            <w:r>
              <w:rPr>
                <w:sz w:val="17"/>
              </w:rPr>
            </w:r>
            <w:r>
              <w:rPr>
                <w:b w:val="0"/>
                <w:sz w:val="17"/>
              </w:rPr>
              <w:t>Originator code register</w:t>
            </w:r>
          </w:p>
        </w:tc>
        <w:tc>
          <w:tcPr>
            <w:tcW w:type="dxa" w:w="2268"/>
          </w:tcPr>
          <w:p>
            <w:pPr>
              <w:spacing w:after="40"/>
            </w:pPr>
            <w:r>
              <w:rPr>
                <w:sz w:val="17"/>
              </w:rPr>
            </w:r>
            <w:r>
              <w:rPr>
                <w:b w:val="0"/>
                <w:sz w:val="17"/>
              </w:rPr>
              <w:t>To be confirmed — Section 4.2.1</w:t>
            </w:r>
          </w:p>
        </w:tc>
      </w:tr>
      <w:tr>
        <w:tc>
          <w:tcPr>
            <w:tcW w:type="dxa" w:w="1247"/>
          </w:tcPr>
          <w:p>
            <w:pPr>
              <w:spacing w:after="40"/>
            </w:pPr>
            <w:r>
              <w:rPr>
                <w:sz w:val="17"/>
              </w:rPr>
            </w:r>
            <w:r>
              <w:rPr>
                <w:b w:val="0"/>
                <w:sz w:val="17"/>
              </w:rPr>
              <w:t>H</w:t>
            </w:r>
          </w:p>
        </w:tc>
        <w:tc>
          <w:tcPr>
            <w:tcW w:type="dxa" w:w="5896"/>
          </w:tcPr>
          <w:p>
            <w:pPr>
              <w:spacing w:after="40"/>
            </w:pPr>
            <w:r>
              <w:rPr>
                <w:sz w:val="17"/>
              </w:rPr>
            </w:r>
            <w:r>
              <w:rPr>
                <w:b w:val="0"/>
                <w:sz w:val="17"/>
              </w:rPr>
              <w:t>Appointing Party asset information requirements</w:t>
            </w:r>
          </w:p>
        </w:tc>
        <w:tc>
          <w:tcPr>
            <w:tcW w:type="dxa" w:w="2268"/>
          </w:tcPr>
          <w:p>
            <w:pPr>
              <w:spacing w:after="40"/>
            </w:pPr>
            <w:r>
              <w:rPr>
                <w:sz w:val="17"/>
              </w:rPr>
            </w:r>
            <w:r>
              <w:rPr>
                <w:b w:val="0"/>
                <w:sz w:val="17"/>
              </w:rPr>
              <w:t>Awaited — see Section 14.4</w:t>
            </w:r>
          </w:p>
        </w:tc>
      </w:tr>
    </w:tbl>
    <w:p>
      <w:pPr>
        <w:spacing w:after="40"/>
      </w:pP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BIM Execution Plan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BIM Execution Plan</dc:title>
  <dc:subject>Kampala Uganda Temple — BIM Execution Plan in accordance with BS EN ISO 19650-2</dc:subject>
  <dc:creator>Planscape Consulting Engineers Ltd</dc:creator>
  <cp:keywords/>
  <dc:description>Rev P01. Issued through the Common Data Environment. Uncontrolled when printed. Generated by tools/build_bep.py; do not hand-edit - regenerate. parts-sha256:df21ac87b659d7c777a627ffc6d151045c96955d29897fa6b9cdf64a9cfb79e6 inputs-sha256:4432908ccc214dd7937cb05e5d7178c45fc6b3f4e60d8d4a374d63f07ffb1675</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