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Symbion Consulting Group Studios (Mayanja Davis)</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Temple and ancillary buildings across 6 volumes; 6,597 m² gross internal area. Storeys per volume are given in the level and grid register</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701"/>
            <w:shd w:val="clear" w:fill="E8EDF3"/>
          </w:tcPr>
          <w:p>
            <w:r/>
            <w:r>
              <w:rPr>
                <w:b/>
                <w:color w:val="1F3654"/>
                <w:sz w:val="17"/>
              </w:rPr>
              <w:t>Volume code</w:t>
            </w:r>
          </w:p>
        </w:tc>
        <w:tc>
          <w:tcPr>
            <w:tcW w:type="dxa" w:w="3515"/>
            <w:shd w:val="clear" w:fill="E8EDF3"/>
          </w:tcPr>
          <w:p>
            <w:r/>
            <w:r>
              <w:rPr>
                <w:b/>
                <w:color w:val="1F3654"/>
                <w:sz w:val="17"/>
              </w:rPr>
              <w:t>Volume</w:t>
            </w:r>
          </w:p>
        </w:tc>
        <w:tc>
          <w:tcPr>
            <w:tcW w:type="dxa" w:w="1928"/>
            <w:shd w:val="clear" w:fill="E8EDF3"/>
          </w:tcPr>
          <w:p>
            <w:r/>
            <w:r>
              <w:rPr>
                <w:b/>
                <w:color w:val="1F3654"/>
                <w:sz w:val="17"/>
              </w:rPr>
              <w:t>Numbering value</w:t>
            </w:r>
          </w:p>
        </w:tc>
        <w:tc>
          <w:tcPr>
            <w:tcW w:type="dxa" w:w="2268"/>
            <w:shd w:val="clear" w:fill="E8EDF3"/>
          </w:tcPr>
          <w:p>
            <w:r/>
            <w:r>
              <w:rPr>
                <w:b/>
                <w:color w:val="1F3654"/>
                <w:sz w:val="17"/>
              </w:rPr>
              <w:t>Gross internal area</w:t>
            </w:r>
          </w:p>
        </w:tc>
      </w:tr>
      <w:tr>
        <w:tc>
          <w:tcPr>
            <w:tcW w:type="dxa" w:w="1701"/>
          </w:tcPr>
          <w:p>
            <w:pPr>
              <w:spacing w:after="40"/>
            </w:pPr>
            <w:r>
              <w:rPr>
                <w:sz w:val="17"/>
              </w:rPr>
            </w:r>
            <w:r>
              <w:rPr>
                <w:b w:val="0"/>
                <w:sz w:val="17"/>
              </w:rPr>
              <w:t>BLD1</w:t>
            </w:r>
          </w:p>
        </w:tc>
        <w:tc>
          <w:tcPr>
            <w:tcW w:type="dxa" w:w="3515"/>
          </w:tcPr>
          <w:p>
            <w:pPr>
              <w:spacing w:after="40"/>
            </w:pPr>
            <w:r>
              <w:rPr>
                <w:sz w:val="17"/>
              </w:rPr>
            </w:r>
            <w:r>
              <w:rPr>
                <w:b w:val="0"/>
                <w:sz w:val="17"/>
              </w:rPr>
              <w:t>Temple</w:t>
            </w:r>
          </w:p>
        </w:tc>
        <w:tc>
          <w:tcPr>
            <w:tcW w:type="dxa" w:w="1928"/>
          </w:tcPr>
          <w:p>
            <w:pPr>
              <w:spacing w:after="40"/>
            </w:pPr>
            <w:r>
              <w:rPr>
                <w:sz w:val="17"/>
              </w:rPr>
            </w:r>
            <w:r>
              <w:rPr>
                <w:b w:val="0"/>
                <w:sz w:val="17"/>
              </w:rPr>
              <w:t>01</w:t>
            </w:r>
          </w:p>
        </w:tc>
        <w:tc>
          <w:tcPr>
            <w:tcW w:type="dxa" w:w="2268"/>
          </w:tcPr>
          <w:p>
            <w:pPr>
              <w:spacing w:after="40"/>
            </w:pPr>
            <w:r>
              <w:rPr>
                <w:sz w:val="17"/>
              </w:rPr>
            </w:r>
            <w:r>
              <w:rPr>
                <w:b w:val="0"/>
                <w:sz w:val="17"/>
              </w:rPr>
              <w:t>2,449 m²</w:t>
            </w:r>
          </w:p>
        </w:tc>
      </w:tr>
      <w:tr>
        <w:tc>
          <w:tcPr>
            <w:tcW w:type="dxa" w:w="1701"/>
          </w:tcPr>
          <w:p>
            <w:pPr>
              <w:spacing w:after="40"/>
            </w:pPr>
            <w:r>
              <w:rPr>
                <w:sz w:val="17"/>
              </w:rPr>
            </w:r>
            <w:r>
              <w:rPr>
                <w:b w:val="0"/>
                <w:sz w:val="17"/>
              </w:rPr>
              <w:t>BLD2</w:t>
            </w:r>
          </w:p>
        </w:tc>
        <w:tc>
          <w:tcPr>
            <w:tcW w:type="dxa" w:w="3515"/>
          </w:tcPr>
          <w:p>
            <w:pPr>
              <w:spacing w:after="40"/>
            </w:pPr>
            <w:r>
              <w:rPr>
                <w:sz w:val="17"/>
              </w:rPr>
            </w:r>
            <w:r>
              <w:rPr>
                <w:b w:val="0"/>
                <w:sz w:val="17"/>
              </w:rPr>
              <w:t>Meetinghouse</w:t>
            </w:r>
          </w:p>
        </w:tc>
        <w:tc>
          <w:tcPr>
            <w:tcW w:type="dxa" w:w="1928"/>
          </w:tcPr>
          <w:p>
            <w:pPr>
              <w:spacing w:after="40"/>
            </w:pPr>
            <w:r>
              <w:rPr>
                <w:sz w:val="17"/>
              </w:rPr>
            </w:r>
            <w:r>
              <w:rPr>
                <w:b w:val="0"/>
                <w:sz w:val="17"/>
              </w:rPr>
              <w:t>02</w:t>
            </w:r>
          </w:p>
        </w:tc>
        <w:tc>
          <w:tcPr>
            <w:tcW w:type="dxa" w:w="2268"/>
          </w:tcPr>
          <w:p>
            <w:pPr>
              <w:spacing w:after="40"/>
            </w:pPr>
            <w:r>
              <w:rPr>
                <w:sz w:val="17"/>
              </w:rPr>
            </w:r>
            <w:r>
              <w:rPr>
                <w:b w:val="0"/>
                <w:sz w:val="17"/>
              </w:rPr>
              <w:t>1,312 m²</w:t>
            </w:r>
          </w:p>
        </w:tc>
      </w:tr>
      <w:tr>
        <w:tc>
          <w:tcPr>
            <w:tcW w:type="dxa" w:w="1701"/>
          </w:tcPr>
          <w:p>
            <w:pPr>
              <w:spacing w:after="40"/>
            </w:pPr>
            <w:r>
              <w:rPr>
                <w:sz w:val="17"/>
              </w:rPr>
            </w:r>
            <w:r>
              <w:rPr>
                <w:b w:val="0"/>
                <w:sz w:val="17"/>
              </w:rPr>
              <w:t>BLD3</w:t>
            </w:r>
          </w:p>
        </w:tc>
        <w:tc>
          <w:tcPr>
            <w:tcW w:type="dxa" w:w="3515"/>
          </w:tcPr>
          <w:p>
            <w:pPr>
              <w:spacing w:after="40"/>
            </w:pPr>
            <w:r>
              <w:rPr>
                <w:sz w:val="17"/>
              </w:rPr>
            </w:r>
            <w:r>
              <w:rPr>
                <w:b w:val="0"/>
                <w:sz w:val="17"/>
              </w:rPr>
              <w:t>Housing and ancillary</w:t>
            </w:r>
          </w:p>
        </w:tc>
        <w:tc>
          <w:tcPr>
            <w:tcW w:type="dxa" w:w="1928"/>
          </w:tcPr>
          <w:p>
            <w:pPr>
              <w:spacing w:after="40"/>
            </w:pPr>
            <w:r>
              <w:rPr>
                <w:sz w:val="17"/>
              </w:rPr>
            </w:r>
            <w:r>
              <w:rPr>
                <w:b w:val="0"/>
                <w:sz w:val="17"/>
              </w:rPr>
              <w:t>03</w:t>
            </w:r>
          </w:p>
        </w:tc>
        <w:tc>
          <w:tcPr>
            <w:tcW w:type="dxa" w:w="2268"/>
          </w:tcPr>
          <w:p>
            <w:pPr>
              <w:spacing w:after="40"/>
            </w:pPr>
            <w:r>
              <w:rPr>
                <w:sz w:val="17"/>
              </w:rPr>
            </w:r>
            <w:r>
              <w:rPr>
                <w:b w:val="0"/>
                <w:sz w:val="17"/>
              </w:rPr>
              <w:t>2,554 m²</w:t>
            </w:r>
          </w:p>
        </w:tc>
      </w:tr>
      <w:tr>
        <w:tc>
          <w:tcPr>
            <w:tcW w:type="dxa" w:w="1701"/>
          </w:tcPr>
          <w:p>
            <w:pPr>
              <w:spacing w:after="40"/>
            </w:pPr>
            <w:r>
              <w:rPr>
                <w:sz w:val="17"/>
              </w:rPr>
            </w:r>
            <w:r>
              <w:rPr>
                <w:b w:val="0"/>
                <w:sz w:val="17"/>
              </w:rPr>
              <w:t>BLD4</w:t>
            </w:r>
          </w:p>
        </w:tc>
        <w:tc>
          <w:tcPr>
            <w:tcW w:type="dxa" w:w="3515"/>
          </w:tcPr>
          <w:p>
            <w:pPr>
              <w:spacing w:after="40"/>
            </w:pPr>
            <w:r>
              <w:rPr>
                <w:sz w:val="17"/>
              </w:rPr>
            </w:r>
            <w:r>
              <w:rPr>
                <w:b w:val="0"/>
                <w:sz w:val="17"/>
              </w:rPr>
              <w:t>Grounds building</w:t>
            </w:r>
          </w:p>
        </w:tc>
        <w:tc>
          <w:tcPr>
            <w:tcW w:type="dxa" w:w="1928"/>
          </w:tcPr>
          <w:p>
            <w:pPr>
              <w:spacing w:after="40"/>
            </w:pPr>
            <w:r>
              <w:rPr>
                <w:sz w:val="17"/>
              </w:rPr>
            </w:r>
            <w:r>
              <w:rPr>
                <w:b w:val="0"/>
                <w:sz w:val="17"/>
              </w:rPr>
              <w:t>04</w:t>
            </w:r>
          </w:p>
        </w:tc>
        <w:tc>
          <w:tcPr>
            <w:tcW w:type="dxa" w:w="2268"/>
          </w:tcPr>
          <w:p>
            <w:pPr>
              <w:spacing w:after="40"/>
            </w:pPr>
            <w:r>
              <w:rPr>
                <w:sz w:val="17"/>
              </w:rPr>
            </w:r>
            <w:r>
              <w:rPr>
                <w:b w:val="0"/>
                <w:sz w:val="17"/>
              </w:rPr>
              <w:t>93 m²</w:t>
            </w:r>
          </w:p>
        </w:tc>
      </w:tr>
      <w:tr>
        <w:tc>
          <w:tcPr>
            <w:tcW w:type="dxa" w:w="1701"/>
          </w:tcPr>
          <w:p>
            <w:pPr>
              <w:spacing w:after="40"/>
            </w:pPr>
            <w:r>
              <w:rPr>
                <w:sz w:val="17"/>
              </w:rPr>
            </w:r>
            <w:r>
              <w:rPr>
                <w:b w:val="0"/>
                <w:sz w:val="17"/>
              </w:rPr>
              <w:t>BLD5</w:t>
            </w:r>
          </w:p>
        </w:tc>
        <w:tc>
          <w:tcPr>
            <w:tcW w:type="dxa" w:w="3515"/>
          </w:tcPr>
          <w:p>
            <w:pPr>
              <w:spacing w:after="40"/>
            </w:pPr>
            <w:r>
              <w:rPr>
                <w:sz w:val="17"/>
              </w:rPr>
            </w:r>
            <w:r>
              <w:rPr>
                <w:b w:val="0"/>
                <w:sz w:val="17"/>
              </w:rPr>
              <w:t>Utility building</w:t>
            </w:r>
          </w:p>
        </w:tc>
        <w:tc>
          <w:tcPr>
            <w:tcW w:type="dxa" w:w="1928"/>
          </w:tcPr>
          <w:p>
            <w:pPr>
              <w:spacing w:after="40"/>
            </w:pPr>
            <w:r>
              <w:rPr>
                <w:sz w:val="17"/>
              </w:rPr>
            </w:r>
            <w:r>
              <w:rPr>
                <w:b w:val="0"/>
                <w:sz w:val="17"/>
              </w:rPr>
              <w:t>05</w:t>
            </w:r>
          </w:p>
        </w:tc>
        <w:tc>
          <w:tcPr>
            <w:tcW w:type="dxa" w:w="2268"/>
          </w:tcPr>
          <w:p>
            <w:pPr>
              <w:spacing w:after="40"/>
            </w:pPr>
            <w:r>
              <w:rPr>
                <w:sz w:val="17"/>
              </w:rPr>
            </w:r>
            <w:r>
              <w:rPr>
                <w:b w:val="0"/>
                <w:sz w:val="17"/>
              </w:rPr>
              <w:t>166 m²</w:t>
            </w:r>
          </w:p>
        </w:tc>
      </w:tr>
      <w:tr>
        <w:tc>
          <w:tcPr>
            <w:tcW w:type="dxa" w:w="1701"/>
          </w:tcPr>
          <w:p>
            <w:pPr>
              <w:spacing w:after="40"/>
            </w:pPr>
            <w:r>
              <w:rPr>
                <w:sz w:val="17"/>
              </w:rPr>
            </w:r>
            <w:r>
              <w:rPr>
                <w:b w:val="0"/>
                <w:sz w:val="17"/>
              </w:rPr>
              <w:t>BLD6</w:t>
            </w:r>
          </w:p>
        </w:tc>
        <w:tc>
          <w:tcPr>
            <w:tcW w:type="dxa" w:w="3515"/>
          </w:tcPr>
          <w:p>
            <w:pPr>
              <w:spacing w:after="40"/>
            </w:pPr>
            <w:r>
              <w:rPr>
                <w:sz w:val="17"/>
              </w:rPr>
            </w:r>
            <w:r>
              <w:rPr>
                <w:b w:val="0"/>
                <w:sz w:val="17"/>
              </w:rPr>
              <w:t>Guard house</w:t>
            </w:r>
          </w:p>
        </w:tc>
        <w:tc>
          <w:tcPr>
            <w:tcW w:type="dxa" w:w="1928"/>
          </w:tcPr>
          <w:p>
            <w:pPr>
              <w:spacing w:after="40"/>
            </w:pPr>
            <w:r>
              <w:rPr>
                <w:sz w:val="17"/>
              </w:rPr>
            </w:r>
            <w:r>
              <w:rPr>
                <w:b w:val="0"/>
                <w:sz w:val="17"/>
              </w:rPr>
              <w:t>06</w:t>
            </w:r>
          </w:p>
        </w:tc>
        <w:tc>
          <w:tcPr>
            <w:tcW w:type="dxa" w:w="2268"/>
          </w:tcPr>
          <w:p>
            <w:pPr>
              <w:spacing w:after="40"/>
            </w:pPr>
            <w:r>
              <w:rPr>
                <w:sz w:val="17"/>
              </w:rPr>
            </w:r>
            <w:r>
              <w:rPr>
                <w:b w:val="0"/>
                <w:sz w:val="17"/>
              </w:rPr>
              <w:t>23 m²</w:t>
            </w:r>
          </w:p>
        </w:tc>
      </w:tr>
      <w:tr>
        <w:tc>
          <w:tcPr>
            <w:tcW w:type="dxa" w:w="1701"/>
          </w:tcPr>
          <w:p>
            <w:pPr>
              <w:spacing w:after="40"/>
            </w:pPr>
            <w:r>
              <w:rPr>
                <w:sz w:val="17"/>
              </w:rPr>
            </w:r>
            <w:r>
              <w:rPr>
                <w:b w:val="0"/>
                <w:sz w:val="17"/>
              </w:rPr>
              <w:t>EXT</w:t>
            </w:r>
          </w:p>
        </w:tc>
        <w:tc>
          <w:tcPr>
            <w:tcW w:type="dxa" w:w="3515"/>
          </w:tcPr>
          <w:p>
            <w:pPr>
              <w:spacing w:after="40"/>
            </w:pPr>
            <w:r>
              <w:rPr>
                <w:sz w:val="17"/>
              </w:rPr>
            </w:r>
            <w:r>
              <w:rPr>
                <w:b w:val="0"/>
                <w:sz w:val="17"/>
              </w:rPr>
              <w:t>Site-wide and external works</w:t>
            </w:r>
          </w:p>
        </w:tc>
        <w:tc>
          <w:tcPr>
            <w:tcW w:type="dxa" w:w="1928"/>
          </w:tcPr>
          <w:p>
            <w:pPr>
              <w:spacing w:after="40"/>
            </w:pPr>
            <w:r>
              <w:rPr>
                <w:sz w:val="17"/>
              </w:rPr>
            </w:r>
            <w:r>
              <w:rPr>
                <w:b w:val="0"/>
                <w:sz w:val="17"/>
              </w:rPr>
              <w:t>00</w:t>
            </w:r>
          </w:p>
        </w:tc>
        <w:tc>
          <w:tcPr>
            <w:tcW w:type="dxa" w:w="2268"/>
          </w:tcPr>
          <w:p>
            <w:pPr>
              <w:spacing w:after="40"/>
            </w:pPr>
            <w:r>
              <w:rPr>
                <w:sz w:val="17"/>
              </w:rPr>
            </w:r>
            <w:r>
              <w:rPr>
                <w:b w:val="0"/>
                <w:sz w:val="17"/>
              </w:rPr>
              <w:t>—</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 by the quantity surveyor</w:t>
            </w:r>
          </w:p>
        </w:tc>
        <w:tc>
          <w:tcPr>
            <w:tcW w:type="dxa" w:w="3515"/>
          </w:tcPr>
          <w:p>
            <w:pPr>
              <w:spacing w:after="40"/>
            </w:pPr>
            <w:r>
              <w:rPr>
                <w:sz w:val="17"/>
              </w:rPr>
            </w:r>
            <w:r>
              <w:rPr>
                <w:b w:val="0"/>
                <w:sz w:val="17"/>
              </w:rPr>
              <w:t>Models structured and classified so quantities can be taken from them; exports provided on request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 TR, BQ</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The three identifiers</w:t>
      </w:r>
    </w:p>
    <w:p>
      <w:r>
        <w:rPr>
          <w:b w:val="0"/>
          <w:i w:val="0"/>
        </w:rPr>
        <w:t>Three different strings identify things on this project, and they are routinely confused because they share fields and look alike. They identify different objects, are allocated by different people at different times, and are not interchangeable.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474"/>
            <w:shd w:val="clear" w:fill="E8EDF3"/>
          </w:tcPr>
          <w:p>
            <w:r/>
            <w:r>
              <w:rPr>
                <w:b/>
                <w:color w:val="1F3654"/>
                <w:sz w:val="16"/>
              </w:rPr>
              <w:t>Identifier</w:t>
            </w:r>
          </w:p>
        </w:tc>
        <w:tc>
          <w:tcPr>
            <w:tcW w:type="dxa" w:w="2041"/>
            <w:shd w:val="clear" w:fill="E8EDF3"/>
          </w:tcPr>
          <w:p>
            <w:r/>
            <w:r>
              <w:rPr>
                <w:b/>
                <w:color w:val="1F3654"/>
                <w:sz w:val="16"/>
              </w:rPr>
              <w:t>Identifies</w:t>
            </w:r>
          </w:p>
        </w:tc>
        <w:tc>
          <w:tcPr>
            <w:tcW w:type="dxa" w:w="2494"/>
            <w:shd w:val="clear" w:fill="E8EDF3"/>
          </w:tcPr>
          <w:p>
            <w:r/>
            <w:r>
              <w:rPr>
                <w:b/>
                <w:color w:val="1F3654"/>
                <w:sz w:val="16"/>
              </w:rPr>
              <w:t>Form</w:t>
            </w:r>
          </w:p>
        </w:tc>
        <w:tc>
          <w:tcPr>
            <w:tcW w:type="dxa" w:w="1701"/>
            <w:shd w:val="clear" w:fill="E8EDF3"/>
          </w:tcPr>
          <w:p>
            <w:r/>
            <w:r>
              <w:rPr>
                <w:b/>
                <w:color w:val="1F3654"/>
                <w:sz w:val="16"/>
              </w:rPr>
              <w:t>Allocated by</w:t>
            </w:r>
          </w:p>
        </w:tc>
        <w:tc>
          <w:tcPr>
            <w:tcW w:type="dxa" w:w="1701"/>
            <w:shd w:val="clear" w:fill="E8EDF3"/>
          </w:tcPr>
          <w:p>
            <w:r/>
            <w:r>
              <w:rPr>
                <w:b/>
                <w:color w:val="1F3654"/>
                <w:sz w:val="16"/>
              </w:rPr>
              <w:t>Example</w:t>
            </w:r>
          </w:p>
        </w:tc>
      </w:tr>
      <w:tr>
        <w:tc>
          <w:tcPr>
            <w:tcW w:type="dxa" w:w="1474"/>
          </w:tcPr>
          <w:p>
            <w:pPr>
              <w:spacing w:after="40"/>
            </w:pPr>
            <w:r>
              <w:rPr>
                <w:sz w:val="16"/>
              </w:rPr>
            </w:r>
            <w:r>
              <w:rPr>
                <w:b w:val="0"/>
                <w:sz w:val="16"/>
              </w:rPr>
              <w:t>Container name</w:t>
            </w:r>
          </w:p>
        </w:tc>
        <w:tc>
          <w:tcPr>
            <w:tcW w:type="dxa" w:w="2041"/>
          </w:tcPr>
          <w:p>
            <w:pPr>
              <w:spacing w:after="40"/>
            </w:pPr>
            <w:r>
              <w:rPr>
                <w:sz w:val="16"/>
              </w:rPr>
            </w:r>
            <w:r>
              <w:rPr>
                <w:b w:val="0"/>
                <w:sz w:val="16"/>
              </w:rPr>
              <w:t>A file — a model, drawing, sheet, schedule, report or notice</w:t>
            </w:r>
          </w:p>
        </w:tc>
        <w:tc>
          <w:tcPr>
            <w:tcW w:type="dxa" w:w="2494"/>
          </w:tcPr>
          <w:p>
            <w:pPr>
              <w:spacing w:after="40"/>
            </w:pPr>
            <w:r>
              <w:rPr>
                <w:sz w:val="16"/>
              </w:rPr>
            </w:r>
            <w:r>
              <w:rPr>
                <w:b w:val="0"/>
                <w:sz w:val="16"/>
              </w:rPr>
              <w:t>Project-Originator-Volume-Level-Type-Role-Number (7 fields)</w:t>
            </w:r>
          </w:p>
        </w:tc>
        <w:tc>
          <w:tcPr>
            <w:tcW w:type="dxa" w:w="1701"/>
          </w:tcPr>
          <w:p>
            <w:pPr>
              <w:spacing w:after="40"/>
            </w:pPr>
            <w:r>
              <w:rPr>
                <w:sz w:val="16"/>
              </w:rPr>
            </w:r>
            <w:r>
              <w:rPr>
                <w:b w:val="0"/>
                <w:sz w:val="16"/>
              </w:rPr>
              <w:t>The originating party, from this convention</w:t>
            </w:r>
          </w:p>
        </w:tc>
        <w:tc>
          <w:tcPr>
            <w:tcW w:type="dxa" w:w="1701"/>
          </w:tcPr>
          <w:p>
            <w:pPr>
              <w:spacing w:after="40"/>
            </w:pPr>
            <w:r>
              <w:rPr>
                <w:sz w:val="16"/>
              </w:rPr>
            </w:r>
            <w:r>
              <w:rPr>
                <w:b w:val="0"/>
                <w:sz w:val="16"/>
              </w:rPr>
              <w:t>KUT-SMB-01-GF-M3-A-0001</w:t>
            </w:r>
          </w:p>
        </w:tc>
      </w:tr>
      <w:tr>
        <w:tc>
          <w:tcPr>
            <w:tcW w:type="dxa" w:w="1474"/>
          </w:tcPr>
          <w:p>
            <w:pPr>
              <w:spacing w:after="40"/>
            </w:pPr>
            <w:r>
              <w:rPr>
                <w:sz w:val="16"/>
              </w:rPr>
            </w:r>
            <w:r>
              <w:rPr>
                <w:b w:val="0"/>
                <w:sz w:val="16"/>
              </w:rPr>
              <w:t>Element tag</w:t>
            </w:r>
          </w:p>
        </w:tc>
        <w:tc>
          <w:tcPr>
            <w:tcW w:type="dxa" w:w="2041"/>
          </w:tcPr>
          <w:p>
            <w:pPr>
              <w:spacing w:after="40"/>
            </w:pPr>
            <w:r>
              <w:rPr>
                <w:sz w:val="16"/>
              </w:rPr>
            </w:r>
            <w:r>
              <w:rPr>
                <w:b w:val="0"/>
                <w:sz w:val="16"/>
              </w:rPr>
              <w:t>One modelled element, in the model and on a tag</w:t>
            </w:r>
          </w:p>
        </w:tc>
        <w:tc>
          <w:tcPr>
            <w:tcW w:type="dxa" w:w="2494"/>
          </w:tcPr>
          <w:p>
            <w:pPr>
              <w:spacing w:after="40"/>
            </w:pPr>
            <w:r>
              <w:rPr>
                <w:sz w:val="16"/>
              </w:rPr>
            </w:r>
            <w:r>
              <w:rPr>
                <w:b w:val="0"/>
                <w:sz w:val="16"/>
              </w:rPr>
              <w:t>Discipline-Location-Zone-Level-System-Function-Product-Sequence (8 fields)</w:t>
            </w:r>
          </w:p>
        </w:tc>
        <w:tc>
          <w:tcPr>
            <w:tcW w:type="dxa" w:w="1701"/>
          </w:tcPr>
          <w:p>
            <w:pPr>
              <w:spacing w:after="40"/>
            </w:pPr>
            <w:r>
              <w:rPr>
                <w:sz w:val="16"/>
              </w:rPr>
            </w:r>
            <w:r>
              <w:rPr>
                <w:b w:val="0"/>
                <w:sz w:val="16"/>
              </w:rPr>
              <w:t>Generated from the element and its position</w:t>
            </w:r>
          </w:p>
        </w:tc>
        <w:tc>
          <w:tcPr>
            <w:tcW w:type="dxa" w:w="1701"/>
          </w:tcPr>
          <w:p>
            <w:pPr>
              <w:spacing w:after="40"/>
            </w:pPr>
            <w:r>
              <w:rPr>
                <w:sz w:val="16"/>
              </w:rPr>
            </w:r>
            <w:r>
              <w:rPr>
                <w:b w:val="0"/>
                <w:sz w:val="16"/>
              </w:rPr>
              <w:t>M-BLD1-Z01-L02-HVAC-SUP-AHU-0003</w:t>
            </w:r>
          </w:p>
        </w:tc>
      </w:tr>
      <w:tr>
        <w:tc>
          <w:tcPr>
            <w:tcW w:type="dxa" w:w="1474"/>
          </w:tcPr>
          <w:p>
            <w:pPr>
              <w:spacing w:after="40"/>
            </w:pPr>
            <w:r>
              <w:rPr>
                <w:sz w:val="16"/>
              </w:rPr>
            </w:r>
            <w:r>
              <w:rPr>
                <w:b w:val="0"/>
                <w:sz w:val="16"/>
              </w:rPr>
              <w:t>Asset reference</w:t>
            </w:r>
          </w:p>
        </w:tc>
        <w:tc>
          <w:tcPr>
            <w:tcW w:type="dxa" w:w="2041"/>
          </w:tcPr>
          <w:p>
            <w:pPr>
              <w:spacing w:after="40"/>
            </w:pPr>
            <w:r>
              <w:rPr>
                <w:sz w:val="16"/>
              </w:rPr>
            </w:r>
            <w:r>
              <w:rPr>
                <w:b w:val="0"/>
                <w:sz w:val="16"/>
              </w:rPr>
              <w:t>One maintainable asset, in the asset register of the Appointing Party</w:t>
            </w:r>
          </w:p>
        </w:tc>
        <w:tc>
          <w:tcPr>
            <w:tcW w:type="dxa" w:w="2494"/>
          </w:tcPr>
          <w:p>
            <w:pPr>
              <w:spacing w:after="40"/>
            </w:pPr>
            <w:r>
              <w:rPr>
                <w:sz w:val="16"/>
              </w:rPr>
            </w:r>
            <w:r>
              <w:rPr>
                <w:b w:val="0"/>
                <w:sz w:val="16"/>
              </w:rPr>
              <w:t>The Appointing Party numbering convention</w:t>
            </w:r>
          </w:p>
        </w:tc>
        <w:tc>
          <w:tcPr>
            <w:tcW w:type="dxa" w:w="1701"/>
          </w:tcPr>
          <w:p>
            <w:pPr>
              <w:spacing w:after="40"/>
            </w:pPr>
            <w:r>
              <w:rPr>
                <w:sz w:val="16"/>
              </w:rPr>
            </w:r>
            <w:r>
              <w:rPr>
                <w:b w:val="0"/>
                <w:sz w:val="16"/>
              </w:rPr>
              <w:t>The Appointing Party, where one is issued</w:t>
            </w:r>
          </w:p>
        </w:tc>
        <w:tc>
          <w:tcPr>
            <w:tcW w:type="dxa" w:w="1701"/>
          </w:tcPr>
          <w:p>
            <w:pPr>
              <w:spacing w:after="40"/>
            </w:pPr>
            <w:r>
              <w:rPr>
                <w:sz w:val="16"/>
              </w:rPr>
            </w:r>
            <w:r>
              <w:rPr>
                <w:b w:val="0"/>
                <w:sz w:val="16"/>
              </w:rPr>
              <w:t>[FILL — on issue of the convention]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WHERE THE CONFUSION STARTS</w:t>
            </w:r>
          </w:p>
          <w:p>
            <w:r>
              <w:rPr>
                <w:b/>
                <w:sz w:val="19"/>
              </w:rPr>
              <w:t>The volume field is not the same value in the first two.</w:t>
            </w:r>
            <w:r>
              <w:rPr>
                <w:b w:val="0"/>
                <w:sz w:val="19"/>
              </w:rPr>
              <w:t xml:space="preserve"> A container name carries the numbering value (01); an element tag carries the location code (BLD1). Section 1.3 relates them. Likewise the container ROLE field may be Z for a federated or multi-discipline container, while an element DISCIPLINE code is always one of the eight and is validated on every element — there is no such thing as a Z element.</w:t>
            </w:r>
          </w:p>
        </w:tc>
      </w:tr>
    </w:tbl>
    <w:p>
      <w:pPr>
        <w:spacing w:after="40"/>
      </w:pPr>
    </w:p>
    <w:p>
      <w:r>
        <w:rPr>
          <w:b w:val="0"/>
          <w:i w:val="0"/>
        </w:rPr>
        <w:t>Where the Appointing Party issues no asset reference, the element tag is used in its place, and Section 14 records that. Element tag uniqueness is guaranteed by the sequence being allocated within a volume, level and discipline; a tag repeated across two volumes is a defect, not a permitted collision.</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KUT-…-SH-A-0100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3"/>
      </w:pPr>
      <w:r>
        <w:t>7.1.1  The cycle, by day</w:t>
      </w:r>
    </w:p>
    <w:p>
      <w:r>
        <w:rPr>
          <w:b w:val="0"/>
          <w:i w:val="0"/>
        </w:rPr>
        <w:t>A cadence stated only as an interval leaves every party guessing when their own deadline falls. The cycle runs to fixed days so that a task team knows, without asking, when it must have shared.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Day</w:t>
            </w:r>
          </w:p>
        </w:tc>
        <w:tc>
          <w:tcPr>
            <w:tcW w:type="dxa" w:w="2041"/>
            <w:shd w:val="clear" w:fill="E8EDF3"/>
          </w:tcPr>
          <w:p>
            <w:r/>
            <w:r>
              <w:rPr>
                <w:b/>
                <w:color w:val="1F3654"/>
                <w:sz w:val="17"/>
              </w:rPr>
              <w:t>Who</w:t>
            </w:r>
          </w:p>
        </w:tc>
        <w:tc>
          <w:tcPr>
            <w:tcW w:type="dxa" w:w="5669"/>
            <w:shd w:val="clear" w:fill="E8EDF3"/>
          </w:tcPr>
          <w:p>
            <w:r/>
            <w:r>
              <w:rPr>
                <w:b/>
                <w:color w:val="1F3654"/>
                <w:sz w:val="17"/>
              </w:rPr>
              <w:t>What</w:t>
            </w:r>
          </w:p>
        </w:tc>
      </w:tr>
      <w:tr>
        <w:tc>
          <w:tcPr>
            <w:tcW w:type="dxa" w:w="1701"/>
          </w:tcPr>
          <w:p>
            <w:pPr>
              <w:spacing w:after="40"/>
            </w:pPr>
            <w:r>
              <w:rPr>
                <w:sz w:val="17"/>
              </w:rPr>
            </w:r>
            <w:r>
              <w:rPr>
                <w:b w:val="0"/>
                <w:sz w:val="17"/>
              </w:rPr>
              <w:t>Tuesday, 16:00</w:t>
            </w:r>
          </w:p>
        </w:tc>
        <w:tc>
          <w:tcPr>
            <w:tcW w:type="dxa" w:w="2041"/>
          </w:tcPr>
          <w:p>
            <w:pPr>
              <w:spacing w:after="40"/>
            </w:pPr>
            <w:r>
              <w:rPr>
                <w:sz w:val="17"/>
              </w:rPr>
            </w:r>
            <w:r>
              <w:rPr>
                <w:b w:val="0"/>
                <w:sz w:val="17"/>
              </w:rPr>
              <w:t>Every task team</w:t>
            </w:r>
          </w:p>
        </w:tc>
        <w:tc>
          <w:tcPr>
            <w:tcW w:type="dxa" w:w="5669"/>
          </w:tcPr>
          <w:p>
            <w:pPr>
              <w:spacing w:after="40"/>
            </w:pPr>
            <w:r>
              <w:rPr>
                <w:sz w:val="17"/>
              </w:rPr>
            </w:r>
            <w:r>
              <w:rPr>
                <w:b w:val="0"/>
                <w:sz w:val="17"/>
              </w:rPr>
              <w:t>Work in progress closed and shared. Nothing shared after this time enters this cycle</w:t>
            </w:r>
          </w:p>
        </w:tc>
      </w:tr>
      <w:tr>
        <w:tc>
          <w:tcPr>
            <w:tcW w:type="dxa" w:w="1701"/>
          </w:tcPr>
          <w:p>
            <w:pPr>
              <w:spacing w:after="40"/>
            </w:pPr>
            <w:r>
              <w:rPr>
                <w:sz w:val="17"/>
              </w:rPr>
            </w:r>
            <w:r>
              <w:rPr>
                <w:b w:val="0"/>
                <w:sz w:val="17"/>
              </w:rPr>
              <w:t>Wednesday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Models federated, clash detection run, results grouped and assigned</w:t>
            </w:r>
          </w:p>
        </w:tc>
      </w:tr>
      <w:tr>
        <w:tc>
          <w:tcPr>
            <w:tcW w:type="dxa" w:w="1701"/>
          </w:tcPr>
          <w:p>
            <w:pPr>
              <w:spacing w:after="40"/>
            </w:pPr>
            <w:r>
              <w:rPr>
                <w:sz w:val="17"/>
              </w:rPr>
            </w:r>
            <w:r>
              <w:rPr>
                <w:b w:val="0"/>
                <w:sz w:val="17"/>
              </w:rPr>
              <w:t>Thursday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Coordination report issued, with the issue list for the session</w:t>
            </w:r>
          </w:p>
        </w:tc>
      </w:tr>
      <w:tr>
        <w:tc>
          <w:tcPr>
            <w:tcW w:type="dxa" w:w="1701"/>
          </w:tcPr>
          <w:p>
            <w:pPr>
              <w:spacing w:after="40"/>
            </w:pPr>
            <w:r>
              <w:rPr>
                <w:sz w:val="17"/>
              </w:rPr>
            </w:r>
            <w:r>
              <w:rPr>
                <w:b w:val="0"/>
                <w:sz w:val="17"/>
              </w:rPr>
              <w:t>Friday</w:t>
            </w:r>
          </w:p>
        </w:tc>
        <w:tc>
          <w:tcPr>
            <w:tcW w:type="dxa" w:w="2041"/>
          </w:tcPr>
          <w:p>
            <w:pPr>
              <w:spacing w:after="40"/>
            </w:pPr>
            <w:r>
              <w:rPr>
                <w:sz w:val="17"/>
              </w:rPr>
            </w:r>
            <w:r>
              <w:rPr>
                <w:b w:val="0"/>
                <w:sz w:val="17"/>
              </w:rPr>
              <w:t>All disciplines</w:t>
            </w:r>
          </w:p>
        </w:tc>
        <w:tc>
          <w:tcPr>
            <w:tcW w:type="dxa" w:w="5669"/>
          </w:tcPr>
          <w:p>
            <w:pPr>
              <w:spacing w:after="40"/>
            </w:pPr>
            <w:r>
              <w:rPr>
                <w:sz w:val="17"/>
              </w:rPr>
            </w:r>
            <w:r>
              <w:rPr>
                <w:b w:val="0"/>
                <w:sz w:val="17"/>
              </w:rPr>
              <w:t>Coordination session. Issues assigned, with owners and dates</w:t>
            </w:r>
          </w:p>
        </w:tc>
      </w:tr>
      <w:tr>
        <w:tc>
          <w:tcPr>
            <w:tcW w:type="dxa" w:w="1701"/>
          </w:tcPr>
          <w:p>
            <w:pPr>
              <w:spacing w:after="40"/>
            </w:pPr>
            <w:r>
              <w:rPr>
                <w:sz w:val="17"/>
              </w:rPr>
            </w:r>
            <w:r>
              <w:rPr>
                <w:b w:val="0"/>
                <w:sz w:val="17"/>
              </w:rPr>
              <w:t>The following week</w:t>
            </w:r>
          </w:p>
        </w:tc>
        <w:tc>
          <w:tcPr>
            <w:tcW w:type="dxa" w:w="2041"/>
          </w:tcPr>
          <w:p>
            <w:pPr>
              <w:spacing w:after="40"/>
            </w:pPr>
            <w:r>
              <w:rPr>
                <w:sz w:val="17"/>
              </w:rPr>
            </w:r>
            <w:r>
              <w:rPr>
                <w:b w:val="0"/>
                <w:sz w:val="17"/>
              </w:rPr>
              <w:t>Task teams</w:t>
            </w:r>
          </w:p>
        </w:tc>
        <w:tc>
          <w:tcPr>
            <w:tcW w:type="dxa" w:w="5669"/>
          </w:tcPr>
          <w:p>
            <w:pPr>
              <w:spacing w:after="40"/>
            </w:pPr>
            <w:r>
              <w:rPr>
                <w:sz w:val="17"/>
              </w:rPr>
            </w:r>
            <w:r>
              <w:rPr>
                <w:b w:val="0"/>
                <w:sz w:val="17"/>
              </w:rPr>
              <w:t>Issues resolved in the work in progress area, ready for the next Tuesday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WHY THE REPORT COMES FIRST</w:t>
            </w:r>
          </w:p>
          <w:p>
            <w:r>
              <w:rPr>
                <w:b w:val="0"/>
                <w:sz w:val="19"/>
              </w:rPr>
              <w:t>The report is issued a full day before the session. A coordination session where the attendees are reading the report for the first time is a reading exercise, not a coordination meeting.</w:t>
            </w:r>
          </w:p>
        </w:tc>
      </w:tr>
    </w:tbl>
    <w:p>
      <w:pPr>
        <w:spacing w:after="40"/>
      </w:pPr>
    </w:p>
    <w:p>
      <w:pPr>
        <w:pStyle w:val="Heading2"/>
      </w:pPr>
      <w:r>
        <w:t>7.1.2  Information exchange calendar</w:t>
      </w:r>
    </w:p>
    <w:p>
      <w:r>
        <w:rPr>
          <w:b w:val="0"/>
          <w:i w:val="0"/>
        </w:rPr>
        <w:t>Every exchange on the project, and the deadline that governs it. Dates are fixed against the appointment date once confirmed; the Master Information Delivery Plan carries them per deliverable.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041"/>
            <w:shd w:val="clear" w:fill="E8EDF3"/>
          </w:tcPr>
          <w:p>
            <w:r/>
            <w:r>
              <w:rPr>
                <w:b/>
                <w:color w:val="1F3654"/>
                <w:sz w:val="16"/>
              </w:rPr>
              <w:t>Exchange</w:t>
            </w:r>
          </w:p>
        </w:tc>
        <w:tc>
          <w:tcPr>
            <w:tcW w:type="dxa" w:w="1361"/>
            <w:shd w:val="clear" w:fill="E8EDF3"/>
          </w:tcPr>
          <w:p>
            <w:r/>
            <w:r>
              <w:rPr>
                <w:b/>
                <w:color w:val="1F3654"/>
                <w:sz w:val="16"/>
              </w:rPr>
              <w:t>Frequency</w:t>
            </w:r>
          </w:p>
        </w:tc>
        <w:tc>
          <w:tcPr>
            <w:tcW w:type="dxa" w:w="1928"/>
            <w:shd w:val="clear" w:fill="E8EDF3"/>
          </w:tcPr>
          <w:p>
            <w:r/>
            <w:r>
              <w:rPr>
                <w:b/>
                <w:color w:val="1F3654"/>
                <w:sz w:val="16"/>
              </w:rPr>
              <w:t>Deadline</w:t>
            </w:r>
          </w:p>
        </w:tc>
        <w:tc>
          <w:tcPr>
            <w:tcW w:type="dxa" w:w="1247"/>
            <w:shd w:val="clear" w:fill="E8EDF3"/>
          </w:tcPr>
          <w:p>
            <w:r/>
            <w:r>
              <w:rPr>
                <w:b/>
                <w:color w:val="1F3654"/>
                <w:sz w:val="16"/>
              </w:rPr>
              <w:t>Suitability</w:t>
            </w:r>
          </w:p>
        </w:tc>
        <w:tc>
          <w:tcPr>
            <w:tcW w:type="dxa" w:w="2835"/>
            <w:shd w:val="clear" w:fill="E8EDF3"/>
          </w:tcPr>
          <w:p>
            <w:r/>
            <w:r>
              <w:rPr>
                <w:b/>
                <w:color w:val="1F3654"/>
                <w:sz w:val="16"/>
              </w:rPr>
              <w:t>Recipient</w:t>
            </w:r>
          </w:p>
        </w:tc>
      </w:tr>
      <w:tr>
        <w:tc>
          <w:tcPr>
            <w:tcW w:type="dxa" w:w="2041"/>
          </w:tcPr>
          <w:p>
            <w:pPr>
              <w:spacing w:after="40"/>
            </w:pPr>
            <w:r>
              <w:rPr>
                <w:sz w:val="16"/>
              </w:rPr>
            </w:r>
            <w:r>
              <w:rPr>
                <w:b w:val="0"/>
                <w:sz w:val="16"/>
              </w:rPr>
              <w:t>Coordination share</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Tuesday 16:00</w:t>
            </w:r>
          </w:p>
        </w:tc>
        <w:tc>
          <w:tcPr>
            <w:tcW w:type="dxa" w:w="1247"/>
          </w:tcPr>
          <w:p>
            <w:pPr>
              <w:spacing w:after="40"/>
            </w:pPr>
            <w:r>
              <w:rPr>
                <w:sz w:val="16"/>
              </w:rPr>
            </w:r>
            <w:r>
              <w:rPr>
                <w:b w:val="0"/>
                <w:sz w:val="16"/>
              </w:rPr>
              <w:t>S1</w:t>
            </w:r>
          </w:p>
        </w:tc>
        <w:tc>
          <w:tcPr>
            <w:tcW w:type="dxa" w:w="2835"/>
          </w:tcPr>
          <w:p>
            <w:pPr>
              <w:spacing w:after="40"/>
            </w:pPr>
            <w:r>
              <w:rPr>
                <w:sz w:val="16"/>
              </w:rPr>
            </w:r>
            <w:r>
              <w:rPr>
                <w:b w:val="0"/>
                <w:sz w:val="16"/>
              </w:rPr>
              <w:t>Information Manager</w:t>
            </w:r>
          </w:p>
        </w:tc>
      </w:tr>
      <w:tr>
        <w:tc>
          <w:tcPr>
            <w:tcW w:type="dxa" w:w="2041"/>
          </w:tcPr>
          <w:p>
            <w:pPr>
              <w:spacing w:after="40"/>
            </w:pPr>
            <w:r>
              <w:rPr>
                <w:sz w:val="16"/>
              </w:rPr>
            </w:r>
            <w:r>
              <w:rPr>
                <w:b w:val="0"/>
                <w:sz w:val="16"/>
              </w:rPr>
              <w:t>Coordination report</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Thursday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All task teams</w:t>
            </w:r>
          </w:p>
        </w:tc>
      </w:tr>
      <w:tr>
        <w:tc>
          <w:tcPr>
            <w:tcW w:type="dxa" w:w="2041"/>
          </w:tcPr>
          <w:p>
            <w:pPr>
              <w:spacing w:after="40"/>
            </w:pPr>
            <w:r>
              <w:rPr>
                <w:sz w:val="16"/>
              </w:rPr>
            </w:r>
            <w:r>
              <w:rPr>
                <w:b w:val="0"/>
                <w:sz w:val="16"/>
              </w:rPr>
              <w:t>Progress note</w:t>
            </w:r>
          </w:p>
        </w:tc>
        <w:tc>
          <w:tcPr>
            <w:tcW w:type="dxa" w:w="1361"/>
          </w:tcPr>
          <w:p>
            <w:pPr>
              <w:spacing w:after="40"/>
            </w:pPr>
            <w:r>
              <w:rPr>
                <w:sz w:val="16"/>
              </w:rPr>
            </w:r>
            <w:r>
              <w:rPr>
                <w:b w:val="0"/>
                <w:sz w:val="16"/>
              </w:rPr>
              <w:t>Weekly</w:t>
            </w:r>
          </w:p>
        </w:tc>
        <w:tc>
          <w:tcPr>
            <w:tcW w:type="dxa" w:w="1928"/>
          </w:tcPr>
          <w:p>
            <w:pPr>
              <w:spacing w:after="40"/>
            </w:pPr>
            <w:r>
              <w:rPr>
                <w:sz w:val="16"/>
              </w:rPr>
            </w:r>
            <w:r>
              <w:rPr>
                <w:b w:val="0"/>
                <w:sz w:val="16"/>
              </w:rPr>
              <w:t>Friday</w:t>
            </w:r>
          </w:p>
        </w:tc>
        <w:tc>
          <w:tcPr>
            <w:tcW w:type="dxa" w:w="1247"/>
          </w:tcPr>
          <w:p>
            <w:pPr>
              <w:spacing w:after="40"/>
            </w:pPr>
            <w:r>
              <w:rPr>
                <w:sz w:val="16"/>
              </w:rPr>
            </w:r>
            <w:r>
              <w:rPr>
                <w:b w:val="0"/>
                <w:sz w:val="16"/>
              </w:rPr>
              <w:t>—</w:t>
            </w:r>
          </w:p>
        </w:tc>
        <w:tc>
          <w:tcPr>
            <w:tcW w:type="dxa" w:w="2835"/>
          </w:tcPr>
          <w:p>
            <w:pPr>
              <w:spacing w:after="40"/>
            </w:pPr>
            <w:r>
              <w:rPr>
                <w:sz w:val="16"/>
              </w:rPr>
            </w:r>
            <w:r>
              <w:rPr>
                <w:b w:val="0"/>
                <w:sz w:val="16"/>
              </w:rPr>
              <w:t>Lead Appointed Party</w:t>
            </w:r>
          </w:p>
        </w:tc>
      </w:tr>
      <w:tr>
        <w:tc>
          <w:tcPr>
            <w:tcW w:type="dxa" w:w="2041"/>
          </w:tcPr>
          <w:p>
            <w:pPr>
              <w:spacing w:after="40"/>
            </w:pPr>
            <w:r>
              <w:rPr>
                <w:sz w:val="16"/>
              </w:rPr>
            </w:r>
            <w:r>
              <w:rPr>
                <w:b w:val="0"/>
                <w:sz w:val="16"/>
              </w:rPr>
              <w:t>Status report</w:t>
            </w:r>
          </w:p>
        </w:tc>
        <w:tc>
          <w:tcPr>
            <w:tcW w:type="dxa" w:w="1361"/>
          </w:tcPr>
          <w:p>
            <w:pPr>
              <w:spacing w:after="40"/>
            </w:pPr>
            <w:r>
              <w:rPr>
                <w:sz w:val="16"/>
              </w:rPr>
            </w:r>
            <w:r>
              <w:rPr>
                <w:b w:val="0"/>
                <w:sz w:val="16"/>
              </w:rPr>
              <w:t>Monthly</w:t>
            </w:r>
          </w:p>
        </w:tc>
        <w:tc>
          <w:tcPr>
            <w:tcW w:type="dxa" w:w="1928"/>
          </w:tcPr>
          <w:p>
            <w:pPr>
              <w:spacing w:after="40"/>
            </w:pPr>
            <w:r>
              <w:rPr>
                <w:sz w:val="16"/>
              </w:rPr>
            </w:r>
            <w:r>
              <w:rPr>
                <w:b w:val="0"/>
                <w:sz w:val="16"/>
              </w:rPr>
              <w:t>Last working 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 and Lead</w:t>
            </w:r>
          </w:p>
        </w:tc>
      </w:tr>
      <w:tr>
        <w:tc>
          <w:tcPr>
            <w:tcW w:type="dxa" w:w="2041"/>
          </w:tcPr>
          <w:p>
            <w:pPr>
              <w:spacing w:after="40"/>
            </w:pPr>
            <w:r>
              <w:rPr>
                <w:sz w:val="16"/>
              </w:rPr>
            </w:r>
            <w:r>
              <w:rPr>
                <w:b w:val="0"/>
                <w:sz w:val="16"/>
              </w:rPr>
              <w:t>Data drop</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Per the delivery plan</w:t>
            </w:r>
          </w:p>
        </w:tc>
        <w:tc>
          <w:tcPr>
            <w:tcW w:type="dxa" w:w="1247"/>
          </w:tcPr>
          <w:p>
            <w:pPr>
              <w:spacing w:after="40"/>
            </w:pPr>
            <w:r>
              <w:rPr>
                <w:sz w:val="16"/>
              </w:rPr>
            </w:r>
            <w:r>
              <w:rPr>
                <w:b w:val="0"/>
                <w:sz w:val="16"/>
              </w:rPr>
              <w:t>S4 then A1</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Owner review set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With the data drop</w:t>
            </w:r>
          </w:p>
        </w:tc>
        <w:tc>
          <w:tcPr>
            <w:tcW w:type="dxa" w:w="1247"/>
          </w:tcPr>
          <w:p>
            <w:pPr>
              <w:spacing w:after="40"/>
            </w:pPr>
            <w:r>
              <w:rPr>
                <w:sz w:val="16"/>
              </w:rPr>
            </w:r>
            <w:r>
              <w:rPr>
                <w:b w:val="0"/>
                <w:sz w:val="16"/>
              </w:rPr>
              <w:t>S3</w:t>
            </w:r>
          </w:p>
        </w:tc>
        <w:tc>
          <w:tcPr>
            <w:tcW w:type="dxa" w:w="2835"/>
          </w:tcPr>
          <w:p>
            <w:pPr>
              <w:spacing w:after="40"/>
            </w:pPr>
            <w:r>
              <w:rPr>
                <w:sz w:val="16"/>
              </w:rPr>
            </w:r>
            <w:r>
              <w:rPr>
                <w:b w:val="0"/>
                <w:sz w:val="16"/>
              </w:rPr>
              <w:t>Appointing Party — two-week review window</w:t>
            </w:r>
          </w:p>
        </w:tc>
      </w:tr>
      <w:tr>
        <w:tc>
          <w:tcPr>
            <w:tcW w:type="dxa" w:w="2041"/>
          </w:tcPr>
          <w:p>
            <w:pPr>
              <w:spacing w:after="40"/>
            </w:pPr>
            <w:r>
              <w:rPr>
                <w:sz w:val="16"/>
              </w:rPr>
            </w:r>
            <w:r>
              <w:rPr>
                <w:b w:val="0"/>
                <w:sz w:val="16"/>
              </w:rPr>
              <w:t>Comment close-out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Before the gate</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Gate pack</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At the gate</w:t>
            </w:r>
          </w:p>
        </w:tc>
        <w:tc>
          <w:tcPr>
            <w:tcW w:type="dxa" w:w="1247"/>
          </w:tcPr>
          <w:p>
            <w:pPr>
              <w:spacing w:after="40"/>
            </w:pPr>
            <w:r>
              <w:rPr>
                <w:sz w:val="16"/>
              </w:rPr>
            </w:r>
            <w:r>
              <w:rPr>
                <w:b w:val="0"/>
                <w:sz w:val="16"/>
              </w:rPr>
              <w:t>S4</w:t>
            </w:r>
          </w:p>
        </w:tc>
        <w:tc>
          <w:tcPr>
            <w:tcW w:type="dxa" w:w="2835"/>
          </w:tcPr>
          <w:p>
            <w:pPr>
              <w:spacing w:after="40"/>
            </w:pPr>
            <w:r>
              <w:rPr>
                <w:sz w:val="16"/>
              </w:rPr>
            </w:r>
            <w:r>
              <w:rPr>
                <w:b w:val="0"/>
                <w:sz w:val="16"/>
              </w:rPr>
              <w:t>Appointing Party</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Third-party services and model viewers</w:t>
      </w:r>
    </w:p>
    <w:p>
      <w:r>
        <w:rPr>
          <w:b w:val="0"/>
          <w:i w:val="0"/>
        </w:rPr>
        <w:t>Project information is held in the Common Data Environment. Placing it anywhere else — a model viewer, a visualisation service, a file-transfer service, an artificial intelligence assistant or any other third-party platform — is a transfer of the Appointing Party information outside the agreed environment, whether or not it is described as temporary or private.</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Written approval</w:t>
            </w:r>
          </w:p>
        </w:tc>
        <w:tc>
          <w:tcPr>
            <w:tcW w:type="dxa" w:w="7483"/>
          </w:tcPr>
          <w:p>
            <w:pPr>
              <w:spacing w:after="40"/>
            </w:pPr>
            <w:r>
              <w:rPr>
                <w:sz w:val="17"/>
              </w:rPr>
            </w:r>
            <w:r>
              <w:rPr>
                <w:b w:val="0"/>
                <w:sz w:val="17"/>
              </w:rPr>
              <w:t>No project information is uploaded to any third-party service without the written approval of the Appointing Party, obtained in advance</w:t>
            </w:r>
          </w:p>
        </w:tc>
      </w:tr>
      <w:tr>
        <w:tc>
          <w:tcPr>
            <w:tcW w:type="dxa" w:w="1928"/>
          </w:tcPr>
          <w:p>
            <w:pPr>
              <w:spacing w:after="40"/>
            </w:pPr>
            <w:r>
              <w:rPr>
                <w:sz w:val="17"/>
              </w:rPr>
            </w:r>
            <w:r>
              <w:rPr>
                <w:b w:val="0"/>
                <w:sz w:val="17"/>
              </w:rPr>
              <w:t>Scope of approval</w:t>
            </w:r>
          </w:p>
        </w:tc>
        <w:tc>
          <w:tcPr>
            <w:tcW w:type="dxa" w:w="7483"/>
          </w:tcPr>
          <w:p>
            <w:pPr>
              <w:spacing w:after="40"/>
            </w:pPr>
            <w:r>
              <w:rPr>
                <w:sz w:val="17"/>
              </w:rPr>
            </w:r>
            <w:r>
              <w:rPr>
                <w:b w:val="0"/>
                <w:sz w:val="17"/>
              </w:rPr>
              <w:t>An approval names the service, the information, the purpose and the duration. It does not extend to other services or later purposes</w:t>
            </w:r>
          </w:p>
        </w:tc>
      </w:tr>
      <w:tr>
        <w:tc>
          <w:tcPr>
            <w:tcW w:type="dxa" w:w="1928"/>
          </w:tcPr>
          <w:p>
            <w:pPr>
              <w:spacing w:after="40"/>
            </w:pPr>
            <w:r>
              <w:rPr>
                <w:sz w:val="17"/>
              </w:rPr>
            </w:r>
            <w:r>
              <w:rPr>
                <w:b w:val="0"/>
                <w:sz w:val="17"/>
              </w:rPr>
              <w:t>Register</w:t>
            </w:r>
          </w:p>
        </w:tc>
        <w:tc>
          <w:tcPr>
            <w:tcW w:type="dxa" w:w="7483"/>
          </w:tcPr>
          <w:p>
            <w:pPr>
              <w:spacing w:after="40"/>
            </w:pPr>
            <w:r>
              <w:rPr>
                <w:sz w:val="17"/>
              </w:rPr>
            </w:r>
            <w:r>
              <w:rPr>
                <w:b w:val="0"/>
                <w:sz w:val="17"/>
              </w:rPr>
              <w:t>Approved services are recorded in the register of third-party services, maintained by the Information Manager and reissued with the monthly status report</w:t>
            </w:r>
          </w:p>
        </w:tc>
      </w:tr>
      <w:tr>
        <w:tc>
          <w:tcPr>
            <w:tcW w:type="dxa" w:w="1928"/>
          </w:tcPr>
          <w:p>
            <w:pPr>
              <w:spacing w:after="40"/>
            </w:pPr>
            <w:r>
              <w:rPr>
                <w:sz w:val="17"/>
              </w:rPr>
            </w:r>
            <w:r>
              <w:rPr>
                <w:b w:val="0"/>
                <w:sz w:val="17"/>
              </w:rPr>
              <w:t>Deletion</w:t>
            </w:r>
          </w:p>
        </w:tc>
        <w:tc>
          <w:tcPr>
            <w:tcW w:type="dxa" w:w="7483"/>
          </w:tcPr>
          <w:p>
            <w:pPr>
              <w:spacing w:after="40"/>
            </w:pPr>
            <w:r>
              <w:rPr>
                <w:sz w:val="17"/>
              </w:rPr>
            </w:r>
            <w:r>
              <w:rPr>
                <w:b w:val="0"/>
                <w:sz w:val="17"/>
              </w:rPr>
              <w:t>On completion of the approved purpose, the information is deleted from the service and the deletion confirmed in writing</w:t>
            </w:r>
          </w:p>
        </w:tc>
      </w:tr>
      <w:tr>
        <w:tc>
          <w:tcPr>
            <w:tcW w:type="dxa" w:w="1928"/>
          </w:tcPr>
          <w:p>
            <w:pPr>
              <w:spacing w:after="40"/>
            </w:pPr>
            <w:r>
              <w:rPr>
                <w:sz w:val="17"/>
              </w:rPr>
            </w:r>
            <w:r>
              <w:rPr>
                <w:b w:val="0"/>
                <w:sz w:val="17"/>
              </w:rPr>
              <w:t>Personal accounts</w:t>
            </w:r>
          </w:p>
        </w:tc>
        <w:tc>
          <w:tcPr>
            <w:tcW w:type="dxa" w:w="7483"/>
          </w:tcPr>
          <w:p>
            <w:pPr>
              <w:spacing w:after="40"/>
            </w:pPr>
            <w:r>
              <w:rPr>
                <w:sz w:val="17"/>
              </w:rPr>
            </w:r>
            <w:r>
              <w:rPr>
                <w:b w:val="0"/>
                <w:sz w:val="17"/>
              </w:rPr>
              <w:t>Project information is never held in a personal account of any service, including personal cloud storage and personal messaging</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COMMON FAILURE</w:t>
            </w:r>
          </w:p>
          <w:p>
            <w:r>
              <w:rPr>
                <w:b w:val="0"/>
                <w:sz w:val="19"/>
              </w:rPr>
              <w:t>This is the requirement most often broken by accident and with good intentions — a viewer link shared to save somebody a download, a model dropped into a transfer service because it was too large to email. Both put Appointing Party information on infrastructure nobody has assessed. If a service would make the work easier, ask for it to be approved; do not use it first.</w:t>
            </w:r>
          </w:p>
        </w:tc>
      </w:tr>
    </w:tbl>
    <w:p>
      <w:pPr>
        <w:spacing w:after="40"/>
      </w:pPr>
    </w:p>
    <w:p>
      <w:pPr>
        <w:pStyle w:val="Heading2"/>
      </w:pPr>
      <w:r>
        <w:t>8.3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action, negotiation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 administration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M44 to M47</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M48 to M49</w:t>
            </w:r>
          </w:p>
        </w:tc>
      </w:tr>
    </w:tbl>
    <w:p>
      <w:pPr>
        <w:spacing w:after="40"/>
      </w:pPr>
    </w:p>
    <w:p>
      <w:r>
        <w:rPr>
          <w:b w:val="0"/>
          <w:i w:val="0"/>
        </w:rPr>
        <w:t>Months are counted from the appointment and run in sequence: 11 months for Phase 2 and 38 for Phase 3, 49 in total. Calendar dates are fixed against the appointment date once it is confirmed.</w:t>
      </w: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pPr>
        <w:pStyle w:val="Heading2"/>
      </w:pPr>
      <w:r>
        <w:t>10.5  Key performance indicators</w:t>
      </w:r>
    </w:p>
    <w:p>
      <w:r>
        <w:rPr>
          <w:b w:val="0"/>
          <w:i w:val="0"/>
        </w:rPr>
        <w:t>What is measured, what the target is, and how it is obtained. An indicator with no stated method is reported differently by whoever compiles it, and the trend then means nothing.</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494"/>
            <w:shd w:val="clear" w:fill="E8EDF3"/>
          </w:tcPr>
          <w:p>
            <w:r/>
            <w:r>
              <w:rPr>
                <w:b/>
                <w:color w:val="1F3654"/>
                <w:sz w:val="16"/>
              </w:rPr>
              <w:t>Indicator</w:t>
            </w:r>
          </w:p>
        </w:tc>
        <w:tc>
          <w:tcPr>
            <w:tcW w:type="dxa" w:w="1814"/>
            <w:shd w:val="clear" w:fill="E8EDF3"/>
          </w:tcPr>
          <w:p>
            <w:r/>
            <w:r>
              <w:rPr>
                <w:b/>
                <w:color w:val="1F3654"/>
                <w:sz w:val="16"/>
              </w:rPr>
              <w:t>Target</w:t>
            </w:r>
          </w:p>
        </w:tc>
        <w:tc>
          <w:tcPr>
            <w:tcW w:type="dxa" w:w="3402"/>
            <w:shd w:val="clear" w:fill="E8EDF3"/>
          </w:tcPr>
          <w:p>
            <w:r/>
            <w:r>
              <w:rPr>
                <w:b/>
                <w:color w:val="1F3654"/>
                <w:sz w:val="16"/>
              </w:rPr>
              <w:t>Measured</w:t>
            </w:r>
          </w:p>
        </w:tc>
        <w:tc>
          <w:tcPr>
            <w:tcW w:type="dxa" w:w="1701"/>
            <w:shd w:val="clear" w:fill="E8EDF3"/>
          </w:tcPr>
          <w:p>
            <w:r/>
            <w:r>
              <w:rPr>
                <w:b/>
                <w:color w:val="1F3654"/>
                <w:sz w:val="16"/>
              </w:rPr>
              <w:t>Reported</w:t>
            </w:r>
          </w:p>
        </w:tc>
      </w:tr>
      <w:tr>
        <w:tc>
          <w:tcPr>
            <w:tcW w:type="dxa" w:w="2494"/>
          </w:tcPr>
          <w:p>
            <w:pPr>
              <w:spacing w:after="40"/>
            </w:pPr>
            <w:r>
              <w:rPr>
                <w:sz w:val="16"/>
              </w:rPr>
            </w:r>
            <w:r>
              <w:rPr>
                <w:b w:val="0"/>
                <w:sz w:val="16"/>
              </w:rPr>
              <w:t>Container naming compliance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Automated check over every container shared in the period</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Tag and data completeness</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Automated audit over all modelled elements in scope, by discipline</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Unresolved high-priority clashes</w:t>
            </w:r>
          </w:p>
        </w:tc>
        <w:tc>
          <w:tcPr>
            <w:tcW w:type="dxa" w:w="1814"/>
          </w:tcPr>
          <w:p>
            <w:pPr>
              <w:spacing w:after="40"/>
            </w:pPr>
            <w:r>
              <w:rPr>
                <w:sz w:val="16"/>
              </w:rPr>
            </w:r>
            <w:r>
              <w:rPr>
                <w:b w:val="0"/>
                <w:sz w:val="16"/>
              </w:rPr>
              <w:t>0 at each data drop</w:t>
            </w:r>
          </w:p>
        </w:tc>
        <w:tc>
          <w:tcPr>
            <w:tcW w:type="dxa" w:w="3402"/>
          </w:tcPr>
          <w:p>
            <w:pPr>
              <w:spacing w:after="40"/>
            </w:pPr>
            <w:r>
              <w:rPr>
                <w:sz w:val="16"/>
              </w:rPr>
            </w:r>
            <w:r>
              <w:rPr>
                <w:b w:val="0"/>
                <w:sz w:val="16"/>
              </w:rPr>
              <w:t>Clash detection over the federated model</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Shares meeting the deadline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Count of task teams sharing by Tuesday 16:00, against those due</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Issues closed within the agreed date</w:t>
            </w:r>
          </w:p>
        </w:tc>
        <w:tc>
          <w:tcPr>
            <w:tcW w:type="dxa" w:w="1814"/>
          </w:tcPr>
          <w:p>
            <w:pPr>
              <w:spacing w:after="40"/>
            </w:pPr>
            <w:r>
              <w:rPr>
                <w:sz w:val="16"/>
              </w:rPr>
            </w:r>
            <w:r>
              <w:rPr>
                <w:b w:val="0"/>
                <w:sz w:val="16"/>
              </w:rPr>
              <w:t>90% or above</w:t>
            </w:r>
          </w:p>
        </w:tc>
        <w:tc>
          <w:tcPr>
            <w:tcW w:type="dxa" w:w="3402"/>
          </w:tcPr>
          <w:p>
            <w:pPr>
              <w:spacing w:after="40"/>
            </w:pPr>
            <w:r>
              <w:rPr>
                <w:sz w:val="16"/>
              </w:rPr>
            </w:r>
            <w:r>
              <w:rPr>
                <w:b w:val="0"/>
                <w:sz w:val="16"/>
              </w:rPr>
              <w:t>Coordination issue log</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Model health within thresholds</w:t>
            </w:r>
          </w:p>
        </w:tc>
        <w:tc>
          <w:tcPr>
            <w:tcW w:type="dxa" w:w="1814"/>
          </w:tcPr>
          <w:p>
            <w:pPr>
              <w:spacing w:after="40"/>
            </w:pPr>
            <w:r>
              <w:rPr>
                <w:sz w:val="16"/>
              </w:rPr>
            </w:r>
            <w:r>
              <w:rPr>
                <w:b w:val="0"/>
                <w:sz w:val="16"/>
              </w:rPr>
              <w:t>All models</w:t>
            </w:r>
          </w:p>
        </w:tc>
        <w:tc>
          <w:tcPr>
            <w:tcW w:type="dxa" w:w="3402"/>
          </w:tcPr>
          <w:p>
            <w:pPr>
              <w:spacing w:after="40"/>
            </w:pPr>
            <w:r>
              <w:rPr>
                <w:sz w:val="16"/>
              </w:rPr>
            </w:r>
            <w:r>
              <w:rPr>
                <w:b w:val="0"/>
                <w:sz w:val="16"/>
              </w:rPr>
              <w:t>File size, warning count and unplaced elements against Section 10.2</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Level of information need met</w:t>
            </w:r>
          </w:p>
        </w:tc>
        <w:tc>
          <w:tcPr>
            <w:tcW w:type="dxa" w:w="1814"/>
          </w:tcPr>
          <w:p>
            <w:pPr>
              <w:spacing w:after="40"/>
            </w:pPr>
            <w:r>
              <w:rPr>
                <w:sz w:val="16"/>
              </w:rPr>
            </w:r>
            <w:r>
              <w:rPr>
                <w:b w:val="0"/>
                <w:sz w:val="16"/>
              </w:rPr>
              <w:t>100% at each gate</w:t>
            </w:r>
          </w:p>
        </w:tc>
        <w:tc>
          <w:tcPr>
            <w:tcW w:type="dxa" w:w="3402"/>
          </w:tcPr>
          <w:p>
            <w:pPr>
              <w:spacing w:after="40"/>
            </w:pPr>
            <w:r>
              <w:rPr>
                <w:sz w:val="16"/>
              </w:rPr>
            </w:r>
            <w:r>
              <w:rPr>
                <w:b w:val="0"/>
                <w:sz w:val="16"/>
              </w:rPr>
              <w:t>Automated audit against the milestone, reported with the categories not in scope</w:t>
            </w:r>
          </w:p>
        </w:tc>
        <w:tc>
          <w:tcPr>
            <w:tcW w:type="dxa" w:w="1701"/>
          </w:tcPr>
          <w:p>
            <w:pPr>
              <w:spacing w:after="40"/>
            </w:pPr>
            <w:r>
              <w:rPr>
                <w:sz w:val="16"/>
              </w:rPr>
            </w:r>
            <w:r>
              <w:rPr>
                <w:b w:val="0"/>
                <w:sz w:val="16"/>
              </w:rPr>
              <w:t>At each gate</w:t>
            </w:r>
          </w:p>
        </w:tc>
      </w:tr>
      <w:tr>
        <w:tc>
          <w:tcPr>
            <w:tcW w:type="dxa" w:w="2494"/>
          </w:tcPr>
          <w:p>
            <w:pPr>
              <w:spacing w:after="40"/>
            </w:pPr>
            <w:r>
              <w:rPr>
                <w:sz w:val="16"/>
              </w:rPr>
            </w:r>
            <w:r>
              <w:rPr>
                <w:b w:val="0"/>
                <w:sz w:val="16"/>
              </w:rPr>
              <w:t>Asset data completeness</w:t>
            </w:r>
          </w:p>
        </w:tc>
        <w:tc>
          <w:tcPr>
            <w:tcW w:type="dxa" w:w="1814"/>
          </w:tcPr>
          <w:p>
            <w:pPr>
              <w:spacing w:after="40"/>
            </w:pPr>
            <w:r>
              <w:rPr>
                <w:sz w:val="16"/>
              </w:rPr>
            </w:r>
            <w:r>
              <w:rPr>
                <w:b w:val="0"/>
                <w:sz w:val="16"/>
              </w:rPr>
              <w:t>95% or above by tier at Deliverable D</w:t>
            </w:r>
          </w:p>
        </w:tc>
        <w:tc>
          <w:tcPr>
            <w:tcW w:type="dxa" w:w="3402"/>
          </w:tcPr>
          <w:p>
            <w:pPr>
              <w:spacing w:after="40"/>
            </w:pPr>
            <w:r>
              <w:rPr>
                <w:sz w:val="16"/>
              </w:rPr>
            </w:r>
            <w:r>
              <w:rPr>
                <w:b w:val="0"/>
                <w:sz w:val="16"/>
              </w:rPr>
              <w:t>Count of required fields populated, by tier and volume</w:t>
            </w:r>
          </w:p>
        </w:tc>
        <w:tc>
          <w:tcPr>
            <w:tcW w:type="dxa" w:w="1701"/>
          </w:tcPr>
          <w:p>
            <w:pPr>
              <w:spacing w:after="40"/>
            </w:pPr>
            <w:r>
              <w:rPr>
                <w:sz w:val="16"/>
              </w:rPr>
            </w:r>
            <w:r>
              <w:rPr>
                <w:b w:val="0"/>
                <w:sz w:val="16"/>
              </w:rPr>
              <w:t>Monthly from Stage 3.1</w:t>
            </w:r>
          </w:p>
        </w:tc>
      </w:tr>
      <w:tr>
        <w:tc>
          <w:tcPr>
            <w:tcW w:type="dxa" w:w="2494"/>
          </w:tcPr>
          <w:p>
            <w:pPr>
              <w:spacing w:after="40"/>
            </w:pPr>
            <w:r>
              <w:rPr>
                <w:sz w:val="16"/>
              </w:rPr>
            </w:r>
            <w:r>
              <w:rPr>
                <w:b w:val="0"/>
                <w:sz w:val="16"/>
              </w:rPr>
              <w:t>Deliverables issued on the planned date</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Master Information Delivery Plan, planned against actual</w:t>
            </w:r>
          </w:p>
        </w:tc>
        <w:tc>
          <w:tcPr>
            <w:tcW w:type="dxa" w:w="1701"/>
          </w:tcPr>
          <w:p>
            <w:pPr>
              <w:spacing w:after="40"/>
            </w:pPr>
            <w:r>
              <w:rPr>
                <w:sz w:val="16"/>
              </w:rPr>
            </w:r>
            <w:r>
              <w:rPr>
                <w:b w:val="0"/>
                <w:sz w:val="16"/>
              </w:rPr>
              <w:t>Monthly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READING A PERCENTAGE</w:t>
            </w:r>
          </w:p>
          <w:p>
            <w:r>
              <w:rPr>
                <w:b w:val="0"/>
                <w:sz w:val="19"/>
              </w:rPr>
              <w:t>A percentage without its scope is not a measurement. Every automated audit on this project reports the categories it did not scan alongside the result, and the two are read together. An empty scope reports as complete and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Specialty equipment only</w:t>
            </w:r>
          </w:p>
        </w:tc>
        <w:tc>
          <w:tcPr>
            <w:tcW w:type="dxa" w:w="2041"/>
          </w:tcPr>
          <w:p>
            <w:pPr>
              <w:spacing w:after="40"/>
            </w:pPr>
            <w:r>
              <w:rPr>
                <w:sz w:val="16"/>
              </w:rPr>
            </w:r>
            <w:r>
              <w:rPr>
                <w:b w:val="0"/>
                <w:sz w:val="16"/>
              </w:rPr>
              <w:t>Lighting fixtures and plumbing fixtures only</w:t>
            </w:r>
          </w:p>
        </w:tc>
        <w:tc>
          <w:tcPr>
            <w:tcW w:type="dxa" w:w="1247"/>
          </w:tcPr>
          <w:p>
            <w:pPr>
              <w:spacing w:after="40"/>
            </w:pPr>
            <w:r>
              <w:rPr>
                <w:sz w:val="16"/>
              </w:rPr>
            </w:r>
            <w:r>
              <w:rPr>
                <w:b w:val="0"/>
                <w:sz w:val="16"/>
              </w:rPr>
              <w:t>Casework only</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18a</w:t>
            </w:r>
          </w:p>
        </w:tc>
        <w:tc>
          <w:tcPr>
            <w:tcW w:type="dxa" w:w="3742"/>
          </w:tcPr>
          <w:p>
            <w:pPr>
              <w:spacing w:after="40"/>
            </w:pPr>
            <w:r>
              <w:rPr>
                <w:sz w:val="16"/>
              </w:rPr>
            </w:r>
            <w:r>
              <w:rPr>
                <w:b w:val="0"/>
                <w:sz w:val="16"/>
              </w:rPr>
              <w:t>FF&amp;E catalogue scope confirmed — which categories are procured and specified through the FF&amp;E database</w:t>
            </w:r>
          </w:p>
        </w:tc>
        <w:tc>
          <w:tcPr>
            <w:tcW w:type="dxa" w:w="1928"/>
          </w:tcPr>
          <w:p>
            <w:pPr>
              <w:spacing w:after="40"/>
            </w:pPr>
            <w:r>
              <w:rPr>
                <w:sz w:val="16"/>
              </w:rPr>
            </w:r>
            <w:r>
              <w:rPr>
                <w:b w:val="0"/>
                <w:sz w:val="16"/>
              </w:rPr>
              <w:t>Section 14.2</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CONFIRM AT THE KICKOFF</w:t>
            </w:r>
          </w:p>
          <w:p>
            <w:r>
              <w:rPr>
                <w:b w:val="0"/>
                <w:sz w:val="19"/>
              </w:rPr>
              <w:t>Item 18a affects what is required at handover. The project position is that six categories carry an FF&amp;E reference: furniture, furniture systems, casework, lighting fixtures, plumbing fixtures and specialty equipment. That is the set the FF&amp;E export covers, so it is the set the close-out check enforces. If the Appointing Party procures only loose furniture through the catalogue, the other four categories come out of scope and the requirement narrows accordingly. Settling this at the kickoff costs nothing; settling it at Deliverable D means either an unenforceable requirement or a retrospective data-capture exercise.</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pPr>
        <w:pStyle w:val="Heading2"/>
      </w:pPr>
      <w:r>
        <w:t>15.5  Document reference register</w:t>
      </w:r>
    </w:p>
    <w:p>
      <w:r>
        <w:rPr>
          <w:b w:val="0"/>
          <w:i w:val="0"/>
        </w:rPr>
        <w:t>The reference each document in the mobilisation set carries. Earlier drafts allocated these inconsistently — the same reference was used for two documents, and one document carried two references across drafts — which makes a transmittal ambiguous about what it transmitted.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402"/>
            <w:shd w:val="clear" w:fill="E8EDF3"/>
          </w:tcPr>
          <w:p>
            <w:r/>
            <w:r>
              <w:rPr>
                <w:b/>
                <w:color w:val="1F3654"/>
                <w:sz w:val="17"/>
              </w:rPr>
              <w:t>Document</w:t>
            </w:r>
          </w:p>
        </w:tc>
        <w:tc>
          <w:tcPr>
            <w:tcW w:type="dxa" w:w="3742"/>
            <w:shd w:val="clear" w:fill="E8EDF3"/>
          </w:tcPr>
          <w:p>
            <w:r/>
            <w:r>
              <w:rPr>
                <w:b/>
                <w:color w:val="1F3654"/>
                <w:sz w:val="17"/>
              </w:rPr>
              <w:t>Reference</w:t>
            </w:r>
          </w:p>
        </w:tc>
        <w:tc>
          <w:tcPr>
            <w:tcW w:type="dxa" w:w="2268"/>
            <w:shd w:val="clear" w:fill="E8EDF3"/>
          </w:tcPr>
          <w:p>
            <w:r/>
            <w:r>
              <w:rPr>
                <w:b/>
                <w:color w:val="1F3654"/>
                <w:sz w:val="17"/>
              </w:rPr>
              <w:t>Issued as</w:t>
            </w:r>
          </w:p>
        </w:tc>
      </w:tr>
      <w:tr>
        <w:tc>
          <w:tcPr>
            <w:tcW w:type="dxa" w:w="3402"/>
          </w:tcPr>
          <w:p>
            <w:pPr>
              <w:spacing w:after="40"/>
            </w:pPr>
            <w:r>
              <w:rPr>
                <w:sz w:val="17"/>
              </w:rPr>
            </w:r>
            <w:r>
              <w:rPr>
                <w:b w:val="0"/>
                <w:sz w:val="17"/>
              </w:rPr>
              <w:t>BIM Execution Plan (this document)</w:t>
            </w:r>
          </w:p>
        </w:tc>
        <w:tc>
          <w:tcPr>
            <w:tcW w:type="dxa" w:w="3742"/>
          </w:tcPr>
          <w:p>
            <w:pPr>
              <w:spacing w:after="40"/>
            </w:pPr>
            <w:r>
              <w:rPr>
                <w:sz w:val="17"/>
              </w:rPr>
            </w:r>
            <w:r>
              <w:rPr>
                <w:b w:val="0"/>
                <w:sz w:val="17"/>
              </w:rPr>
              <w:t>KUT-SMB-ZZ-ZZ-RP-Z-0001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Project Delivery Playbook</w:t>
            </w:r>
          </w:p>
        </w:tc>
        <w:tc>
          <w:tcPr>
            <w:tcW w:type="dxa" w:w="3742"/>
          </w:tcPr>
          <w:p>
            <w:pPr>
              <w:spacing w:after="40"/>
            </w:pPr>
            <w:r>
              <w:rPr>
                <w:sz w:val="17"/>
              </w:rPr>
            </w:r>
            <w:r>
              <w:rPr>
                <w:b w:val="0"/>
                <w:sz w:val="17"/>
              </w:rPr>
              <w:t>KUT-SMB-ZZ-ZZ-RP-Z-0002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Document Control Standard</w:t>
            </w:r>
          </w:p>
        </w:tc>
        <w:tc>
          <w:tcPr>
            <w:tcW w:type="dxa" w:w="3742"/>
          </w:tcPr>
          <w:p>
            <w:pPr>
              <w:spacing w:after="40"/>
            </w:pPr>
            <w:r>
              <w:rPr>
                <w:sz w:val="17"/>
              </w:rPr>
            </w:r>
            <w:r>
              <w:rPr>
                <w:b w:val="0"/>
                <w:sz w:val="17"/>
              </w:rPr>
              <w:t>KUT-SMB-ZZ-ZZ-RP-Z-0003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Standards localisation note</w:t>
            </w:r>
          </w:p>
        </w:tc>
        <w:tc>
          <w:tcPr>
            <w:tcW w:type="dxa" w:w="3742"/>
          </w:tcPr>
          <w:p>
            <w:pPr>
              <w:spacing w:after="40"/>
            </w:pPr>
            <w:r>
              <w:rPr>
                <w:sz w:val="17"/>
              </w:rPr>
            </w:r>
            <w:r>
              <w:rPr>
                <w:b w:val="0"/>
                <w:sz w:val="17"/>
              </w:rPr>
              <w:t>KUT-SMB-ZZ-ZZ-RP-Z-0005</w:t>
            </w:r>
          </w:p>
        </w:tc>
        <w:tc>
          <w:tcPr>
            <w:tcW w:type="dxa" w:w="2268"/>
          </w:tcPr>
          <w:p>
            <w:pPr>
              <w:spacing w:after="40"/>
            </w:pPr>
            <w:r>
              <w:rPr>
                <w:sz w:val="17"/>
              </w:rPr>
            </w:r>
            <w:r>
              <w:rPr>
                <w:b w:val="0"/>
                <w:sz w:val="17"/>
              </w:rPr>
              <w:t>S3</w:t>
            </w:r>
          </w:p>
        </w:tc>
      </w:tr>
      <w:tr>
        <w:tc>
          <w:tcPr>
            <w:tcW w:type="dxa" w:w="3402"/>
          </w:tcPr>
          <w:p>
            <w:pPr>
              <w:spacing w:after="40"/>
            </w:pPr>
            <w:r>
              <w:rPr>
                <w:sz w:val="17"/>
              </w:rPr>
            </w:r>
            <w:r>
              <w:rPr>
                <w:b w:val="0"/>
                <w:sz w:val="17"/>
              </w:rPr>
              <w:t>Master Information Delivery Plan</w:t>
            </w:r>
          </w:p>
        </w:tc>
        <w:tc>
          <w:tcPr>
            <w:tcW w:type="dxa" w:w="3742"/>
          </w:tcPr>
          <w:p>
            <w:pPr>
              <w:spacing w:after="40"/>
            </w:pPr>
            <w:r>
              <w:rPr>
                <w:sz w:val="17"/>
              </w:rPr>
            </w:r>
            <w:r>
              <w:rPr>
                <w:b w:val="0"/>
                <w:sz w:val="17"/>
              </w:rPr>
              <w:t>KUT-SMB-ZZ-ZZ-SC-Z-0001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Responsibility matrix</w:t>
            </w:r>
          </w:p>
        </w:tc>
        <w:tc>
          <w:tcPr>
            <w:tcW w:type="dxa" w:w="3742"/>
          </w:tcPr>
          <w:p>
            <w:pPr>
              <w:spacing w:after="40"/>
            </w:pPr>
            <w:r>
              <w:rPr>
                <w:sz w:val="17"/>
              </w:rPr>
            </w:r>
            <w:r>
              <w:rPr>
                <w:b w:val="0"/>
                <w:sz w:val="17"/>
              </w:rPr>
              <w:t>KUT-SMB-ZZ-ZZ-SC-Z-0002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Level and grid register</w:t>
            </w:r>
          </w:p>
        </w:tc>
        <w:tc>
          <w:tcPr>
            <w:tcW w:type="dxa" w:w="3742"/>
          </w:tcPr>
          <w:p>
            <w:pPr>
              <w:spacing w:after="40"/>
            </w:pPr>
            <w:r>
              <w:rPr>
                <w:sz w:val="17"/>
              </w:rPr>
            </w:r>
            <w:r>
              <w:rPr>
                <w:b w:val="0"/>
                <w:sz w:val="17"/>
              </w:rPr>
              <w:t>KUT-SMB-ZZ-ZZ-SC-Z-0003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Originator code register</w:t>
            </w:r>
          </w:p>
        </w:tc>
        <w:tc>
          <w:tcPr>
            <w:tcW w:type="dxa" w:w="3742"/>
          </w:tcPr>
          <w:p>
            <w:pPr>
              <w:spacing w:after="40"/>
            </w:pPr>
            <w:r>
              <w:rPr>
                <w:sz w:val="17"/>
              </w:rPr>
            </w:r>
            <w:r>
              <w:rPr>
                <w:b w:val="0"/>
                <w:sz w:val="17"/>
              </w:rPr>
              <w:t>[FILL — on issue by the Lead Appointed Party]</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Mobilisation information request</w:t>
            </w:r>
          </w:p>
        </w:tc>
        <w:tc>
          <w:tcPr>
            <w:tcW w:type="dxa" w:w="3742"/>
          </w:tcPr>
          <w:p>
            <w:pPr>
              <w:spacing w:after="40"/>
            </w:pPr>
            <w:r>
              <w:rPr>
                <w:sz w:val="17"/>
              </w:rPr>
            </w:r>
            <w:r>
              <w:rPr>
                <w:b w:val="0"/>
                <w:sz w:val="17"/>
              </w:rPr>
              <w:t>KUT-SMB-ZZ-ZZ-RP-Z-0004</w:t>
            </w:r>
          </w:p>
        </w:tc>
        <w:tc>
          <w:tcPr>
            <w:tcW w:type="dxa" w:w="2268"/>
          </w:tcPr>
          <w:p>
            <w:pPr>
              <w:spacing w:after="40"/>
            </w:pPr>
            <w:r>
              <w:rPr>
                <w:sz w:val="17"/>
              </w:rPr>
            </w:r>
            <w:r>
              <w:rPr>
                <w:b w:val="0"/>
                <w:sz w:val="17"/>
              </w:rPr>
              <w:t>S3</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ALLOCATION</w:t>
            </w:r>
          </w:p>
          <w:p>
            <w:r>
              <w:rPr>
                <w:b w:val="0"/>
                <w:sz w:val="19"/>
              </w:rPr>
              <w:t>A reference is allocated once and never reused, including for a document that is withdrawn or replaced. The Document Control Standard states the rule; this table is the current allocation.</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F2</w:t>
            </w:r>
          </w:p>
        </w:tc>
        <w:tc>
          <w:tcPr>
            <w:tcW w:type="dxa" w:w="5896"/>
          </w:tcPr>
          <w:p>
            <w:pPr>
              <w:spacing w:after="40"/>
            </w:pPr>
            <w:r>
              <w:rPr>
                <w:sz w:val="17"/>
              </w:rPr>
            </w:r>
            <w:r>
              <w:rPr>
                <w:b w:val="0"/>
                <w:sz w:val="17"/>
              </w:rPr>
              <w:t>Document Control Standard (KUT-SMB-ZZ-ZZ-RP-Z-0003)</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 Generated by tools/build_bep.py; do not hand-edit - regenerate. parts-sha256:d3335bb659340b10ed4df00351f5d40162fccfc8663a244428fa4fc741ec4004 inputs-sha256:02ad7080a05b0c007c84709bcc706355fd7232c96ffc4412b5526c1b5ffca76e</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