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KUT-SMB-ZZ-ZZ-RP-Z-0001</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BEP type</w:t>
            </w:r>
          </w:p>
        </w:tc>
        <w:tc>
          <w:tcPr>
            <w:tcW w:type="dxa" w:w="6576"/>
            <w:shd w:val="clear" w:fill="F4F6F9"/>
          </w:tcPr>
          <w:p>
            <w:r>
              <w:rPr>
                <w:sz w:val="18"/>
              </w:rPr>
              <w:t>[FILL — pre-appointment / post-appointment]</w:t>
            </w:r>
          </w:p>
        </w:tc>
      </w:tr>
      <w:tr>
        <w:tc>
          <w:tcPr>
            <w:tcW w:type="dxa" w:w="2835"/>
            <w:shd w:val="clear" w:fill="E8EDF3"/>
          </w:tcPr>
          <w:p>
            <w:r>
              <w:rPr>
                <w:b/>
                <w:color w:val="444F5C"/>
                <w:sz w:val="18"/>
              </w:rPr>
              <w:t>Owned by</w:t>
            </w:r>
          </w:p>
        </w:tc>
        <w:tc>
          <w:tcPr>
            <w:tcW w:type="dxa" w:w="6576"/>
            <w:shd w:val="clear" w:fill="F4F6F9"/>
          </w:tcPr>
          <w:p>
            <w:r>
              <w:rPr>
                <w:sz w:val="18"/>
              </w:rPr>
              <w:t>Symbion Consulting Group Studios (Lead Appointed Party)</w:t>
            </w:r>
          </w:p>
        </w:tc>
      </w:tr>
      <w:tr>
        <w:tc>
          <w:tcPr>
            <w:tcW w:type="dxa" w:w="2835"/>
            <w:shd w:val="clear" w:fill="E8EDF3"/>
          </w:tcPr>
          <w:p>
            <w:r>
              <w:rPr>
                <w:b/>
                <w:color w:val="444F5C"/>
                <w:sz w:val="18"/>
              </w:rPr>
              <w:t>Prepared and maintained by</w:t>
            </w:r>
          </w:p>
        </w:tc>
        <w:tc>
          <w:tcPr>
            <w:tcW w:type="dxa" w:w="6576"/>
            <w:shd w:val="clear" w:fill="F4F6F9"/>
          </w:tcPr>
          <w:p>
            <w:r>
              <w:rPr>
                <w:sz w:val="18"/>
              </w:rPr>
              <w:t>Symbion Consulting Group Studios (Mayanja Davis)</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and the element DISCIPLINE are different fields with different code lists. The role is the discipline of the organisation that produced the file (Section 4.2.1); the element discipline says what the element is, from the list below, and is validated on every element. ISO 19650 defines the first and not the second. A role is never derived from the elements in a container, and there is no such thing as a Z element.</w:t>
            </w:r>
          </w:p>
        </w:tc>
      </w:tr>
    </w:tbl>
    <w:p>
      <w:pPr>
        <w:spacing w:after="40"/>
      </w:pP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Element discipline</w:t>
            </w:r>
          </w:p>
        </w:tc>
        <w:tc>
          <w:tcPr>
            <w:tcW w:type="dxa" w:w="5102"/>
            <w:shd w:val="clear" w:fill="E8EDF3"/>
          </w:tcPr>
          <w:p>
            <w:r/>
            <w:r>
              <w:rPr>
                <w:b/>
                <w:color w:val="1F3654"/>
                <w:sz w:val="16"/>
              </w:rPr>
              <w:t>Meaning</w:t>
            </w:r>
          </w:p>
        </w:tc>
        <w:tc>
          <w:tcPr>
            <w:tcW w:type="dxa" w:w="2494"/>
            <w:shd w:val="clear" w:fill="E8EDF3"/>
          </w:tcPr>
          <w:p>
            <w:r/>
            <w:r>
              <w:rPr>
                <w:b/>
                <w:color w:val="1F3654"/>
                <w:sz w:val="16"/>
              </w:rPr>
              <w:t>Normally issued under role</w:t>
            </w:r>
          </w:p>
        </w:tc>
      </w:tr>
      <w:tr>
        <w:tc>
          <w:tcPr>
            <w:tcW w:type="dxa" w:w="1814"/>
          </w:tcPr>
          <w:p>
            <w:pPr>
              <w:spacing w:after="40"/>
            </w:pPr>
            <w:r>
              <w:rPr>
                <w:sz w:val="16"/>
              </w:rPr>
            </w:r>
            <w:r>
              <w:rPr>
                <w:b w:val="0"/>
                <w:sz w:val="16"/>
              </w:rPr>
              <w:t>A</w:t>
            </w:r>
          </w:p>
        </w:tc>
        <w:tc>
          <w:tcPr>
            <w:tcW w:type="dxa" w:w="5102"/>
          </w:tcPr>
          <w:p>
            <w:pPr>
              <w:spacing w:after="40"/>
            </w:pPr>
            <w:r>
              <w:rPr>
                <w:sz w:val="16"/>
              </w:rPr>
            </w:r>
            <w:r>
              <w:rPr>
                <w:b w:val="0"/>
                <w:sz w:val="16"/>
              </w:rPr>
              <w:t>Architecture -- including interiors, FF&amp;E and finishes</w:t>
            </w:r>
          </w:p>
        </w:tc>
        <w:tc>
          <w:tcPr>
            <w:tcW w:type="dxa" w:w="2494"/>
          </w:tcPr>
          <w:p>
            <w:pPr>
              <w:spacing w:after="40"/>
            </w:pPr>
            <w:r>
              <w:rPr>
                <w:sz w:val="16"/>
              </w:rPr>
            </w:r>
            <w:r>
              <w:rPr>
                <w:b w:val="0"/>
                <w:sz w:val="16"/>
              </w:rPr>
              <w:t>A</w:t>
            </w:r>
          </w:p>
        </w:tc>
      </w:tr>
      <w:tr>
        <w:tc>
          <w:tcPr>
            <w:tcW w:type="dxa" w:w="1814"/>
          </w:tcPr>
          <w:p>
            <w:pPr>
              <w:spacing w:after="40"/>
            </w:pPr>
            <w:r>
              <w:rPr>
                <w:sz w:val="16"/>
              </w:rPr>
            </w:r>
            <w:r>
              <w:rPr>
                <w:b w:val="0"/>
                <w:sz w:val="16"/>
              </w:rPr>
              <w:t>S</w:t>
            </w:r>
          </w:p>
        </w:tc>
        <w:tc>
          <w:tcPr>
            <w:tcW w:type="dxa" w:w="5102"/>
          </w:tcPr>
          <w:p>
            <w:pPr>
              <w:spacing w:after="40"/>
            </w:pPr>
            <w:r>
              <w:rPr>
                <w:sz w:val="16"/>
              </w:rPr>
            </w:r>
            <w:r>
              <w:rPr>
                <w:b w:val="0"/>
                <w:sz w:val="16"/>
              </w:rPr>
              <w:t>Structure</w:t>
            </w:r>
          </w:p>
        </w:tc>
        <w:tc>
          <w:tcPr>
            <w:tcW w:type="dxa" w:w="2494"/>
          </w:tcPr>
          <w:p>
            <w:pPr>
              <w:spacing w:after="40"/>
            </w:pPr>
            <w:r>
              <w:rPr>
                <w:sz w:val="16"/>
              </w:rPr>
            </w:r>
            <w:r>
              <w:rPr>
                <w:b w:val="0"/>
                <w:sz w:val="16"/>
              </w:rPr>
              <w:t>S</w:t>
            </w:r>
          </w:p>
        </w:tc>
      </w:tr>
      <w:tr>
        <w:tc>
          <w:tcPr>
            <w:tcW w:type="dxa" w:w="1814"/>
          </w:tcPr>
          <w:p>
            <w:pPr>
              <w:spacing w:after="40"/>
            </w:pPr>
            <w:r>
              <w:rPr>
                <w:sz w:val="16"/>
              </w:rPr>
            </w:r>
            <w:r>
              <w:rPr>
                <w:b w:val="0"/>
                <w:sz w:val="16"/>
              </w:rPr>
              <w:t>M</w:t>
            </w:r>
          </w:p>
        </w:tc>
        <w:tc>
          <w:tcPr>
            <w:tcW w:type="dxa" w:w="5102"/>
          </w:tcPr>
          <w:p>
            <w:pPr>
              <w:spacing w:after="40"/>
            </w:pPr>
            <w:r>
              <w:rPr>
                <w:sz w:val="16"/>
              </w:rPr>
            </w:r>
            <w:r>
              <w:rPr>
                <w:b w:val="0"/>
                <w:sz w:val="16"/>
              </w:rPr>
              <w:t>Mechanical -- including heating, cooling and ventilation pipework</w:t>
            </w:r>
          </w:p>
        </w:tc>
        <w:tc>
          <w:tcPr>
            <w:tcW w:type="dxa" w:w="2494"/>
          </w:tcPr>
          <w:p>
            <w:pPr>
              <w:spacing w:after="40"/>
            </w:pPr>
            <w:r>
              <w:rPr>
                <w:sz w:val="16"/>
              </w:rPr>
            </w:r>
            <w:r>
              <w:rPr>
                <w:b w:val="0"/>
                <w:sz w:val="16"/>
              </w:rPr>
              <w:t>M</w:t>
            </w:r>
          </w:p>
        </w:tc>
      </w:tr>
      <w:tr>
        <w:tc>
          <w:tcPr>
            <w:tcW w:type="dxa" w:w="1814"/>
          </w:tcPr>
          <w:p>
            <w:pPr>
              <w:spacing w:after="40"/>
            </w:pPr>
            <w:r>
              <w:rPr>
                <w:sz w:val="16"/>
              </w:rPr>
            </w:r>
            <w:r>
              <w:rPr>
                <w:b w:val="0"/>
                <w:sz w:val="16"/>
              </w:rPr>
              <w:t>E</w:t>
            </w:r>
          </w:p>
        </w:tc>
        <w:tc>
          <w:tcPr>
            <w:tcW w:type="dxa" w:w="5102"/>
          </w:tcPr>
          <w:p>
            <w:pPr>
              <w:spacing w:after="40"/>
            </w:pPr>
            <w:r>
              <w:rPr>
                <w:sz w:val="16"/>
              </w:rPr>
            </w:r>
            <w:r>
              <w:rPr>
                <w:b w:val="0"/>
                <w:sz w:val="16"/>
              </w:rPr>
              <w:t>Electrical -- power and lighting</w:t>
            </w:r>
          </w:p>
        </w:tc>
        <w:tc>
          <w:tcPr>
            <w:tcW w:type="dxa" w:w="2494"/>
          </w:tcPr>
          <w:p>
            <w:pPr>
              <w:spacing w:after="40"/>
            </w:pPr>
            <w:r>
              <w:rPr>
                <w:sz w:val="16"/>
              </w:rPr>
            </w:r>
            <w:r>
              <w:rPr>
                <w:b w:val="0"/>
                <w:sz w:val="16"/>
              </w:rPr>
              <w:t>E</w:t>
            </w:r>
          </w:p>
        </w:tc>
      </w:tr>
      <w:tr>
        <w:tc>
          <w:tcPr>
            <w:tcW w:type="dxa" w:w="1814"/>
          </w:tcPr>
          <w:p>
            <w:pPr>
              <w:spacing w:after="40"/>
            </w:pPr>
            <w:r>
              <w:rPr>
                <w:sz w:val="16"/>
              </w:rPr>
            </w:r>
            <w:r>
              <w:rPr>
                <w:b w:val="0"/>
                <w:sz w:val="16"/>
              </w:rPr>
              <w:t>P</w:t>
            </w:r>
          </w:p>
        </w:tc>
        <w:tc>
          <w:tcPr>
            <w:tcW w:type="dxa" w:w="5102"/>
          </w:tcPr>
          <w:p>
            <w:pPr>
              <w:spacing w:after="40"/>
            </w:pPr>
            <w:r>
              <w:rPr>
                <w:sz w:val="16"/>
              </w:rPr>
            </w:r>
            <w:r>
              <w:rPr>
                <w:b w:val="0"/>
                <w:sz w:val="16"/>
              </w:rPr>
              <w:t>Public health -- plumbing, drainage and gas</w:t>
            </w:r>
          </w:p>
        </w:tc>
        <w:tc>
          <w:tcPr>
            <w:tcW w:type="dxa" w:w="2494"/>
          </w:tcPr>
          <w:p>
            <w:pPr>
              <w:spacing w:after="40"/>
            </w:pPr>
            <w:r>
              <w:rPr>
                <w:sz w:val="16"/>
              </w:rPr>
            </w:r>
            <w:r>
              <w:rPr>
                <w:b w:val="0"/>
                <w:sz w:val="16"/>
              </w:rPr>
              <w:t>P</w:t>
            </w:r>
          </w:p>
        </w:tc>
      </w:tr>
      <w:tr>
        <w:tc>
          <w:tcPr>
            <w:tcW w:type="dxa" w:w="1814"/>
          </w:tcPr>
          <w:p>
            <w:pPr>
              <w:spacing w:after="40"/>
            </w:pPr>
            <w:r>
              <w:rPr>
                <w:sz w:val="16"/>
              </w:rPr>
            </w:r>
            <w:r>
              <w:rPr>
                <w:b w:val="0"/>
                <w:sz w:val="16"/>
              </w:rPr>
              <w:t>FP</w:t>
            </w:r>
          </w:p>
        </w:tc>
        <w:tc>
          <w:tcPr>
            <w:tcW w:type="dxa" w:w="5102"/>
          </w:tcPr>
          <w:p>
            <w:pPr>
              <w:spacing w:after="40"/>
            </w:pPr>
            <w:r>
              <w:rPr>
                <w:sz w:val="16"/>
              </w:rPr>
            </w:r>
            <w:r>
              <w:rPr>
                <w:b w:val="0"/>
                <w:sz w:val="16"/>
              </w:rPr>
              <w:t>Fire protection -- sprinklers, suppression and fire alarm devices</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LV</w:t>
            </w:r>
          </w:p>
        </w:tc>
        <w:tc>
          <w:tcPr>
            <w:tcW w:type="dxa" w:w="5102"/>
          </w:tcPr>
          <w:p>
            <w:pPr>
              <w:spacing w:after="40"/>
            </w:pPr>
            <w:r>
              <w:rPr>
                <w:sz w:val="16"/>
              </w:rPr>
            </w:r>
            <w:r>
              <w:rPr>
                <w:b w:val="0"/>
                <w:sz w:val="16"/>
              </w:rPr>
              <w:t>Low voltage -- data, communications, security and audio-visual</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G</w:t>
            </w:r>
          </w:p>
        </w:tc>
        <w:tc>
          <w:tcPr>
            <w:tcW w:type="dxa" w:w="5102"/>
          </w:tcPr>
          <w:p>
            <w:pPr>
              <w:spacing w:after="40"/>
            </w:pPr>
            <w:r>
              <w:rPr>
                <w:sz w:val="16"/>
              </w:rPr>
            </w:r>
            <w:r>
              <w:rPr>
                <w:b w:val="0"/>
                <w:sz w:val="16"/>
              </w:rPr>
              <w:t>General -- generic models, specialty equipment and model groups</w:t>
            </w:r>
          </w:p>
        </w:tc>
        <w:tc>
          <w:tcPr>
            <w:tcW w:type="dxa" w:w="2494"/>
          </w:tcPr>
          <w:p>
            <w:pPr>
              <w:spacing w:after="40"/>
            </w:pPr>
            <w:r>
              <w:rPr>
                <w:sz w:val="16"/>
              </w:rPr>
            </w:r>
            <w:r>
              <w:rPr>
                <w:b w:val="0"/>
                <w:sz w:val="16"/>
              </w:rPr>
              <w:t>The role of whichever model it is in</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parts-sha256:b2c2ac0238fca977f654deff78503b3b7099238c78e1011e090d7ad04484fef3 inputs-sha256:7e9fc70e6cfca1512a5adef1cf21a86a92a19af994b65d87ac94a251baf93075</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