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Variation / Change Order (C12)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Formal variation order capturing cost, schedule and scope impact. Must be signed by all three parties before work commences.</w:t>
      </w:r>
    </w:p>
    <w:p>
      <w:pPr>
        <w:spacing w:before="160" w:after="40"/>
      </w:pPr>
      <w:r>
        <w:rPr>
          <w:b/>
          <w:color w:val="1F4E79"/>
          <w:sz w:val="22"/>
        </w:rPr>
        <w:t>Variation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Variation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Contract ref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{{doc.contractor_ref}}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Initiator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{{doc.discipline}}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Description of change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Impact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Cost impact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{{doc.cost_impact}}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{{doc.currency}}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Time impact (days)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{{doc.time_impact}}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New completion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{{doc.new_completion}}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{{doc.risk_category}}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Scope delta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UoM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Unit rate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Line total</w:t>
            </w:r>
          </w:p>
        </w:tc>
      </w:tr>
      <w:tr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scope_items}}</w:t>
            </w:r>
          </w:p>
          <w:p>
            <w:r>
              <w:t>{{scope_items.item}}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{{scope_items.description}}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{{scope_items.qty}}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{{scope_items.uom}}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{{scope_items.rate}}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{{scope_items.total}}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Supporting references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references}}</w:t>
            </w:r>
          </w:p>
          <w:p>
            <w:r>
              <w:t>{{references.ref_type}}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{{references.ref_id}}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{{references.ref_title}}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Contractor representative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Engineer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Employer representative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