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Deliverable Superseded Notice (A03)</w:t>
      </w:r>
    </w:p>
    <w:p>
      <w:r>
        <w:rPr>
          <w:b/>
        </w:rPr>
        <w:t>Superseded Document</w:t>
      </w:r>
    </w:p>
    <w:p>
      <w:r>
        <w:t>{{doc.number}}</w:t>
      </w:r>
    </w:p>
    <w:p>
      <w:r>
        <w:rPr>
          <w:b/>
        </w:rPr>
        <w:t>Superseded By</w:t>
      </w:r>
    </w:p>
    <w:p>
      <w:r>
        <w:t>{{doc.superseded_by}}</w:t>
      </w:r>
    </w:p>
    <w:p>
      <w:r>
        <w:rPr>
          <w:b/>
        </w:rPr>
        <w:t>Rationale</w:t>
      </w:r>
    </w:p>
    <w:p>
      <w:r>
        <w:t>{{doc.reason}}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