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Technical Response (B09)</w:t>
      </w:r>
    </w:p>
    <w:p>
      <w:r>
        <w:rPr>
          <w:b/>
        </w:rPr>
        <w:t>Response Id</w:t>
      </w:r>
    </w:p>
    <w:p>
      <w:r>
        <w:t>{{doc.number}}</w:t>
      </w:r>
    </w:p>
    <w:p>
      <w:r>
        <w:rPr>
          <w:b/>
        </w:rPr>
        <w:t>In response to</w:t>
      </w:r>
    </w:p>
    <w:p>
      <w:r>
        <w:t>{{doc.supersedes}}</w:t>
      </w:r>
    </w:p>
    <w:p>
      <w:r>
        <w:rPr>
          <w:b/>
        </w:rPr>
        <w:t>Answered by</w:t>
      </w:r>
    </w:p>
    <w:p>
      <w:r>
        <w:t>{{people.issued_by}}</w:t>
      </w:r>
    </w:p>
    <w:p>
      <w:r>
        <w:rPr>
          <w:b/>
        </w:rPr>
        <w:t>Answer</w:t>
      </w:r>
    </w:p>
    <w:p>
      <w:r>
        <w:t>{{doc.reason}}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