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E3A5F"/>
          <w:sz w:val="54"/>
        </w:rPr>
        <w:t>Olist 巴西电商</w:t>
      </w:r>
    </w:p>
    <w:p>
      <w:pPr>
        <w:spacing w:after="120"/>
        <w:jc w:val="center"/>
      </w:pPr>
      <w:r>
        <w:rPr>
          <w:rFonts w:ascii="微软雅黑" w:hAnsi="微软雅黑" w:eastAsia="微软雅黑"/>
          <w:b/>
          <w:color w:val="2E5C8A"/>
          <w:sz w:val="66"/>
        </w:rPr>
        <w:t>客户差评归因分析</w:t>
      </w:r>
    </w:p>
    <w:p>
      <w:pPr>
        <w:spacing w:after="600"/>
        <w:jc w:val="center"/>
      </w:pPr>
      <w:r>
        <w:rPr>
          <w:rFonts w:ascii="微软雅黑" w:hAnsi="微软雅黑" w:eastAsia="微软雅黑"/>
          <w:b w:val="0"/>
          <w:color w:val="6B7280"/>
          <w:sz w:val="26"/>
        </w:rPr>
        <w:t>从流程拆解到多元统计建模的完整分析链路</w:t>
      </w:r>
    </w:p>
    <w:p>
      <w:pPr>
        <w:spacing w:after="80"/>
        <w:jc w:val="center"/>
      </w:pPr>
      <w:r>
        <w:rPr>
          <w:rFonts w:ascii="微软雅黑" w:hAnsi="微软雅黑" w:eastAsia="微软雅黑"/>
          <w:color w:val="4B5563"/>
          <w:sz w:val="23"/>
        </w:rPr>
        <w:t>155 万行真实交易数据 · 99,441 笔订单 · 25 个月</w:t>
      </w:r>
    </w:p>
    <w:p>
      <w:pPr>
        <w:spacing w:after="680"/>
        <w:jc w:val="center"/>
      </w:pPr>
      <w:r>
        <w:rPr>
          <w:rFonts w:ascii="微软雅黑" w:hAnsi="微软雅黑" w:eastAsia="微软雅黑"/>
          <w:color w:val="4B5563"/>
          <w:sz w:val="23"/>
        </w:rPr>
        <w:t>PostgreSQL · Python · Power BI · 统计建模</w:t>
      </w:r>
    </w:p>
    <w:tbl>
      <w:tblPr>
        <w:jc w:val="center"/>
        <w:tblLook w:firstColumn="1" w:firstRow="1" w:lastColumn="0" w:lastRow="0" w:noHBand="0" w:noVBand="1" w:val="04A0"/>
        <w:tblW w:w="8844" w:type="dxa"/>
        <w:tblLayout w:type="fixed"/>
      </w:tblPr>
      <w:tblGrid>
        <w:gridCol w:w="907"/>
        <w:gridCol w:w="7937"/>
      </w:tblGrid>
      <w:tr>
        <w:tc>
          <w:tcPr>
            <w:tcW w:type="dxa" w:w="907"/>
          </w:tcPr>
          <w:p>
            <w:r>
              <w:rPr>
                <w:rFonts w:ascii="微软雅黑" w:hAnsi="微软雅黑" w:eastAsia="微软雅黑"/>
                <w:sz w:val="22"/>
              </w:rPr>
            </w:r>
          </w:p>
        </w:tc>
        <w:tc>
          <w:tcPr>
            <w:tcW w:type="dxa" w:w="7937"/>
          </w:tcPr>
          <w:p>
            <w:r>
              <w:rPr>
                <w:rFonts w:ascii="微软雅黑" w:hAnsi="微软雅黑" w:eastAsia="微软雅黑"/>
                <w:b/>
                <w:color w:val="1E3A5F"/>
                <w:sz w:val="25"/>
              </w:rPr>
              <w:t>核 心 结 论</w:t>
            </w:r>
          </w:p>
        </w:tc>
      </w:tr>
      <w:tr>
        <w:tc>
          <w:tcPr>
            <w:tcW w:type="dxa" w:w="907"/>
          </w:tcPr>
          <w:p>
            <w:pPr>
              <w:jc w:val="right"/>
            </w:pPr>
            <w:r>
              <w:rPr>
                <w:rFonts w:ascii="微软雅黑" w:hAnsi="微软雅黑" w:eastAsia="微软雅黑"/>
                <w:b/>
                <w:color w:val="C0392B"/>
                <w:sz w:val="24"/>
              </w:rPr>
              <w:t>①</w:t>
            </w:r>
          </w:p>
        </w:tc>
        <w:tc>
          <w:tcPr>
            <w:tcW w:type="dxa" w:w="7937"/>
          </w:tcPr>
          <w:p>
            <w:pPr>
              <w:spacing w:line="336" w:lineRule="auto" w:after="40"/>
            </w:pPr>
            <w:r>
              <w:rPr>
                <w:rFonts w:ascii="宋体" w:hAnsi="宋体" w:eastAsia="宋体"/>
                <w:color w:val="1F2937"/>
                <w:sz w:val="21"/>
              </w:rPr>
              <w:t>「是否迟到」是差评最强预测因子</w:t>
            </w:r>
          </w:p>
          <w:p>
            <w:pPr>
              <w:spacing w:line="336" w:lineRule="auto" w:after="40"/>
            </w:pPr>
            <w:r>
              <w:rPr>
                <w:rFonts w:ascii="宋体" w:hAnsi="宋体" w:eastAsia="宋体"/>
                <w:color w:val="1F2937"/>
                <w:sz w:val="21"/>
              </w:rPr>
              <w:t xml:space="preserve">   迟到 53.94%  vs  准时 9.18%（5.9 倍）</w:t>
            </w:r>
          </w:p>
        </w:tc>
      </w:tr>
      <w:tr>
        <w:tc>
          <w:tcPr>
            <w:tcW w:type="dxa" w:w="907"/>
          </w:tcPr>
          <w:p>
            <w:pPr>
              <w:jc w:val="right"/>
            </w:pPr>
            <w:r>
              <w:rPr>
                <w:rFonts w:ascii="微软雅黑" w:hAnsi="微软雅黑" w:eastAsia="微软雅黑"/>
                <w:b/>
                <w:color w:val="C0392B"/>
                <w:sz w:val="24"/>
              </w:rPr>
              <w:t>②</w:t>
            </w:r>
          </w:p>
        </w:tc>
        <w:tc>
          <w:tcPr>
            <w:tcW w:type="dxa" w:w="7937"/>
          </w:tcPr>
          <w:p>
            <w:pPr>
              <w:spacing w:line="336" w:lineRule="auto" w:after="40"/>
            </w:pPr>
            <w:r>
              <w:rPr>
                <w:rFonts w:ascii="宋体" w:hAnsi="宋体" w:eastAsia="宋体"/>
                <w:color w:val="1F2937"/>
                <w:sz w:val="21"/>
              </w:rPr>
              <w:t>关系是阈值型，不是线性</w:t>
            </w:r>
          </w:p>
          <w:p>
            <w:pPr>
              <w:spacing w:line="336" w:lineRule="auto" w:after="40"/>
            </w:pPr>
            <w:r>
              <w:rPr>
                <w:rFonts w:ascii="宋体" w:hAnsi="宋体" w:eastAsia="宋体"/>
                <w:color w:val="1F2937"/>
                <w:sz w:val="21"/>
              </w:rPr>
              <w:t xml:space="preserve">   已超期 53.98%，未超期仅 8.79%–11.16%</w:t>
            </w:r>
          </w:p>
        </w:tc>
      </w:tr>
      <w:tr>
        <w:tc>
          <w:tcPr>
            <w:tcW w:type="dxa" w:w="907"/>
          </w:tcPr>
          <w:p>
            <w:pPr>
              <w:jc w:val="right"/>
            </w:pPr>
            <w:r>
              <w:rPr>
                <w:rFonts w:ascii="微软雅黑" w:hAnsi="微软雅黑" w:eastAsia="微软雅黑"/>
                <w:b/>
                <w:color w:val="C0392B"/>
                <w:sz w:val="24"/>
              </w:rPr>
              <w:t>③</w:t>
            </w:r>
          </w:p>
        </w:tc>
        <w:tc>
          <w:tcPr>
            <w:tcW w:type="dxa" w:w="7937"/>
          </w:tcPr>
          <w:p>
            <w:pPr>
              <w:spacing w:line="336" w:lineRule="auto" w:after="40"/>
            </w:pPr>
            <w:r>
              <w:rPr>
                <w:rFonts w:ascii="宋体" w:hAnsi="宋体" w:eastAsia="宋体"/>
                <w:color w:val="1F2937"/>
                <w:sz w:val="21"/>
              </w:rPr>
              <w:t>运输占全程 74.2%，是瓶颈但不可控</w:t>
            </w:r>
          </w:p>
          <w:p>
            <w:pPr>
              <w:spacing w:line="336" w:lineRule="auto" w:after="40"/>
            </w:pPr>
            <w:r>
              <w:rPr>
                <w:rFonts w:ascii="宋体" w:hAnsi="宋体" w:eastAsia="宋体"/>
                <w:color w:val="1F2937"/>
                <w:sz w:val="21"/>
              </w:rPr>
              <w:t xml:space="preserve">   备货仅占 22.3%，却完全可控</w:t>
            </w:r>
          </w:p>
        </w:tc>
      </w:tr>
      <w:tr>
        <w:tc>
          <w:tcPr>
            <w:tcW w:type="dxa" w:w="907"/>
          </w:tcPr>
          <w:p>
            <w:pPr>
              <w:jc w:val="right"/>
            </w:pPr>
            <w:r>
              <w:rPr>
                <w:rFonts w:ascii="微软雅黑" w:hAnsi="微软雅黑" w:eastAsia="微软雅黑"/>
                <w:b/>
                <w:color w:val="C0392B"/>
                <w:sz w:val="24"/>
              </w:rPr>
              <w:t>④</w:t>
            </w:r>
          </w:p>
        </w:tc>
        <w:tc>
          <w:tcPr>
            <w:tcW w:type="dxa" w:w="7937"/>
          </w:tcPr>
          <w:p>
            <w:pPr>
              <w:spacing w:line="336" w:lineRule="auto" w:after="40"/>
            </w:pPr>
            <w:r>
              <w:rPr>
                <w:rFonts w:ascii="宋体" w:hAnsi="宋体" w:eastAsia="宋体"/>
                <w:color w:val="1F2937"/>
                <w:sz w:val="21"/>
              </w:rPr>
              <w:t>超期发货的效应被「迟到」完全中介</w:t>
            </w:r>
          </w:p>
          <w:p>
            <w:pPr>
              <w:spacing w:line="336" w:lineRule="auto" w:after="40"/>
            </w:pPr>
            <w:r>
              <w:rPr>
                <w:rFonts w:ascii="宋体" w:hAnsi="宋体" w:eastAsia="宋体"/>
                <w:color w:val="1F2937"/>
                <w:sz w:val="21"/>
              </w:rPr>
              <w:t xml:space="preserve">   控制迟到后 β = −0.0002（p = 0.97）</w:t>
            </w:r>
          </w:p>
        </w:tc>
      </w:tr>
    </w:tbl>
    <w:p/>
    <w:p/>
    <w:p/>
    <w:p/>
    <w:p>
      <w:pPr>
        <w:jc w:val="center"/>
      </w:pPr>
      <w:r>
        <w:rPr>
          <w:rFonts w:ascii="微软雅黑" w:hAnsi="微软雅黑" w:eastAsia="微软雅黑"/>
          <w:color w:val="9CA3AF"/>
          <w:sz w:val="21"/>
        </w:rPr>
        <w:t>2026 年 10 月</w:t>
      </w:r>
    </w:p>
    <w:p>
      <w:r>
        <w:br w:type="page"/>
      </w:r>
    </w:p>
    <w:p>
      <w:pPr>
        <w:spacing w:before="400" w:after="240"/>
        <w:pBdr>
          <w:bottom w:val="single" w:sz="10" w:color="1E3A5F"/>
        </w:pBdr>
      </w:pPr>
      <w:r>
        <w:rPr>
          <w:rFonts w:ascii="微软雅黑" w:hAnsi="微软雅黑" w:eastAsia="微软雅黑"/>
          <w:b/>
          <w:color w:val="1E3A5F"/>
          <w:sz w:val="36"/>
        </w:rPr>
        <w:t>摘要</w:t>
      </w:r>
    </w:p>
    <w:p>
      <w:pPr>
        <w:spacing w:before="0" w:after="120"/>
        <w:ind w:firstLine="454"/>
      </w:pPr>
      <w:r>
        <w:rPr>
          <w:rFonts w:ascii="宋体" w:hAnsi="宋体" w:eastAsia="宋体"/>
          <w:b w:val="0"/>
          <w:i w:val="0"/>
          <w:sz w:val="23"/>
        </w:rPr>
        <w:t>本项目基于巴西电商平台 Olist 的公开交易数据（155 万行、99,441 笔订单、25 个月），回答一个具体的业务问题：**什么因素导致客户差评？各因素权重如何？业务该优先改哪一个？**</w:t>
      </w:r>
    </w:p>
    <w:p>
      <w:pPr>
        <w:spacing w:before="0" w:after="120"/>
        <w:ind w:firstLine="454"/>
      </w:pPr>
      <w:r>
        <w:rPr>
          <w:rFonts w:ascii="宋体" w:hAnsi="宋体" w:eastAsia="宋体"/>
          <w:b w:val="0"/>
          <w:i w:val="0"/>
          <w:sz w:val="23"/>
        </w:rPr>
        <w:t>分析按「沿业务流程拆解 → 单因素归因 → 相关分析 → 多元回归验证」四层递进。先用四段耗时拆解定位瓶颈，再逐个排查地理、卖家、商品、时间四类因素，最后用 OLS、Logistic 回归和随机森林三种方法交叉验证，确保结论不依赖单一模型假设。</w:t>
      </w: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>五个核心发现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五个核心发现与对应证据</w:t>
      </w:r>
    </w:p>
    <w:tbl>
      <w:tblPr>
        <w:tblStyle w:val="TableGrid"/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566"/>
        <w:gridCol w:w="3174"/>
        <w:gridCol w:w="5442"/>
      </w:tblGrid>
      <w:tr>
        <w:tc>
          <w:tcPr>
            <w:tcW w:type="dxa" w:w="56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#</w:t>
            </w:r>
          </w:p>
        </w:tc>
        <w:tc>
          <w:tcPr>
            <w:tcW w:type="dxa" w:w="3175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发现</w:t>
            </w:r>
          </w:p>
        </w:tc>
        <w:tc>
          <w:tcPr>
            <w:tcW w:type="dxa" w:w="5443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关键证据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317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「是否迟到」是差评最强预测因子</w:t>
            </w:r>
          </w:p>
        </w:tc>
        <w:tc>
          <w:tcPr>
            <w:tcW w:type="dxa" w:w="544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迟到 53.94% vs 准时 9.18%（5.9 倍）</w:t>
              <w:br/>
              <w:t>标准化 β = −0.277，Cohen's d = −1.41，OR = 1.457</w:t>
            </w:r>
          </w:p>
        </w:tc>
      </w:tr>
      <w:tr>
        <w:tc>
          <w:tcPr>
            <w:tcW w:type="dxa" w:w="567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3175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关系是阈值型（悬崖），不是线性（斜坡）</w:t>
            </w:r>
          </w:p>
        </w:tc>
        <w:tc>
          <w:tcPr>
            <w:tcW w:type="dxa" w:w="5443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已超期 53.98%；未超期各档仅 8.79%–11.16%</w:t>
              <w:br/>
              <w:t>分段相关：全样本 r=0.256 → 未超期子集 r=0.024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317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运输占全程 74.2%，是瓶颈但不可控</w:t>
            </w:r>
          </w:p>
        </w:tc>
        <w:tc>
          <w:tcPr>
            <w:tcW w:type="dxa" w:w="544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审核 0.43 + 备货 2.81 + 运输 9.33 = 12.56 天</w:t>
              <w:br/>
              <w:t>运输由距离决定，平台无法改变</w:t>
            </w:r>
          </w:p>
        </w:tc>
      </w:tr>
      <w:tr>
        <w:tc>
          <w:tcPr>
            <w:tcW w:type="dxa" w:w="567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3175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超期发货的效应被「迟到」完全中介</w:t>
            </w:r>
          </w:p>
        </w:tc>
        <w:tc>
          <w:tcPr>
            <w:tcW w:type="dxa" w:w="5443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单因素 r=−0.106 → 控制迟到后 β=−0.0002（p=0.97）</w:t>
              <w:br/>
              <w:t>因果路径：超期发货 → 迟到 → 差评</w:t>
            </w:r>
          </w:p>
        </w:tc>
      </w:tr>
      <w:tr>
        <w:tc>
          <w:tcPr>
            <w:tcW w:type="dxa" w:w="56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317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距离的作用被严重高估</w:t>
            </w:r>
          </w:p>
        </w:tc>
        <w:tc>
          <w:tcPr>
            <w:tcW w:type="dxa" w:w="544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相关系数 r=−0.058 → 控制运输时长后 β=+0.064（符号反转）</w:t>
              <w:br/>
              <w:t>跨州 Cohen's d 仅 −0.12，可忽略</w:t>
            </w:r>
          </w:p>
        </w:tc>
      </w:tr>
    </w:tbl>
    <w:p>
      <w:pPr>
        <w:spacing w:after="20"/>
      </w:pP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>一个可执行的结论</w:t>
      </w:r>
    </w:p>
    <w:tbl>
      <w:tblPr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9184"/>
      </w:tblGrid>
      <w:tr>
        <w:tc>
          <w:tcPr>
            <w:tcW w:type="dxa" w:w="9184"/>
            <w:shd w:val="clear" w:color="auto" w:fill="E8F5E9"/>
            <w:tcBorders>
              <w:top w:val="single" w:sz="4" w:color="43A047"/>
              <w:left w:val="single" w:sz="20" w:color="43A047"/>
              <w:bottom w:val="single" w:sz="4" w:color="43A047"/>
              <w:right w:val="single" w:sz="4" w:color="43A047"/>
            </w:tcBorders>
          </w:tcPr>
          <w:p>
            <w:pPr>
              <w:spacing w:before="60" w:after="40"/>
            </w:pPr>
            <w:r/>
            <w:r>
              <w:rPr>
                <w:rFonts w:ascii="微软雅黑" w:hAnsi="微软雅黑" w:eastAsia="微软雅黑"/>
                <w:b/>
                <w:color w:val="1B5E20"/>
                <w:sz w:val="22"/>
              </w:rPr>
              <w:t>业务目标应该是「绝不违约」，而不是「盲目提速」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如果关系是线性斜坡，业务应追求"越送越快"；但数据显示是悬崖——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未超期时多等几天几乎不影响评分（8.79%→11.16%），一旦超期就断崖式恶化（→53.98%）。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所以正确的动作是：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· 停止为"数据好看"而收紧预估窗口（2018-08 曾因此让迟到率从 4.5% 涨到 10.4%）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· 建立卖家发货时效考核（9.06% 的超期发货是可控的上游原因）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· 大件品类设独立承诺标准（office_furniture 备货 9.92 天，是均值的 3.5 倍）</w:t>
            </w:r>
          </w:p>
        </w:tc>
      </w:tr>
    </w:tbl>
    <w:p>
      <w:pPr>
        <w:spacing w:after="20"/>
      </w:pP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>项目规模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项目规模概览</w:t>
      </w:r>
    </w:p>
    <w:tbl>
      <w:tblPr>
        <w:tblStyle w:val="TableGrid"/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1587"/>
        <w:gridCol w:w="7596"/>
      </w:tblGrid>
      <w:tr>
        <w:tc>
          <w:tcPr>
            <w:tcW w:type="dxa" w:w="158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759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数据</w:t>
            </w:r>
          </w:p>
        </w:tc>
        <w:tc>
          <w:tcPr>
            <w:tcW w:type="dxa" w:w="7597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9 张表 / 1,550,922 行 / 99,441 笔订单 / 96,096 名客户</w:t>
            </w:r>
          </w:p>
        </w:tc>
      </w:tr>
      <w:tr>
        <w:tc>
          <w:tcPr>
            <w:tcW w:type="dxa" w:w="1587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时间跨度</w:t>
            </w:r>
          </w:p>
        </w:tc>
        <w:tc>
          <w:tcPr>
            <w:tcW w:type="dxa" w:w="7597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2016-09 至 2018-10（25 个月）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分析查询</w:t>
            </w:r>
          </w:p>
        </w:tc>
        <w:tc>
          <w:tcPr>
            <w:tcW w:type="dxa" w:w="7597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31 条 SQL（7 个部分，逐条验证通过）</w:t>
            </w:r>
          </w:p>
        </w:tc>
      </w:tr>
      <w:tr>
        <w:tc>
          <w:tcPr>
            <w:tcW w:type="dxa" w:w="1587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统计方法</w:t>
            </w:r>
          </w:p>
        </w:tc>
        <w:tc>
          <w:tcPr>
            <w:tcW w:type="dxa" w:w="7597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相关分析（Pearson/Spearman）、效应量、卡方检验、OLS 回归、Logistic 回归、随机森林</w:t>
            </w:r>
          </w:p>
        </w:tc>
      </w:tr>
      <w:tr>
        <w:tc>
          <w:tcPr>
            <w:tcW w:type="dxa" w:w="158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建模样本</w:t>
            </w:r>
          </w:p>
        </w:tc>
        <w:tc>
          <w:tcPr>
            <w:tcW w:type="dxa" w:w="7597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93,047 条记录、10 维特征，交叉验证 AUC = 0.744</w:t>
            </w:r>
          </w:p>
        </w:tc>
      </w:tr>
      <w:tr>
        <w:tc>
          <w:tcPr>
            <w:tcW w:type="dxa" w:w="1587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交付物</w:t>
            </w:r>
          </w:p>
        </w:tc>
        <w:tc>
          <w:tcPr>
            <w:tcW w:type="dxa" w:w="7597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分析报告 + 6 页 Power BI 仪表盘 + 31 张 SQL 结果图 + 可复现代码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400" w:after="240"/>
        <w:pBdr>
          <w:bottom w:val="single" w:sz="10" w:color="1E3A5F"/>
        </w:pBdr>
      </w:pPr>
      <w:r>
        <w:rPr>
          <w:rFonts w:ascii="微软雅黑" w:hAnsi="微软雅黑" w:eastAsia="微软雅黑"/>
          <w:b/>
          <w:color w:val="1E3A5F"/>
          <w:sz w:val="36"/>
        </w:rPr>
        <w:t xml:space="preserve">第一章  </w:t>
      </w:r>
      <w:r>
        <w:rPr>
          <w:rFonts w:ascii="微软雅黑" w:hAnsi="微软雅黑" w:eastAsia="微软雅黑"/>
          <w:b/>
          <w:color w:val="1E3A5F"/>
          <w:sz w:val="36"/>
        </w:rPr>
        <w:t>数据理解与工程实现</w:t>
      </w: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1.1  </w:t>
      </w:r>
      <w:r>
        <w:rPr>
          <w:rFonts w:ascii="微软雅黑" w:hAnsi="微软雅黑" w:eastAsia="微软雅黑"/>
          <w:b/>
          <w:color w:val="2E5C8A"/>
          <w:sz w:val="29"/>
        </w:rPr>
        <w:t>数据集结构</w:t>
      </w:r>
    </w:p>
    <w:p>
      <w:pPr>
        <w:spacing w:before="0" w:after="120"/>
        <w:ind w:firstLine="454"/>
      </w:pPr>
      <w:r>
        <w:rPr>
          <w:rFonts w:ascii="宋体" w:hAnsi="宋体" w:eastAsia="宋体"/>
          <w:b w:val="0"/>
          <w:i w:val="0"/>
          <w:sz w:val="23"/>
        </w:rPr>
        <w:t>9 张表围绕「订单」这一核心事实表展开。理解表间关系是后续所有分析的前提。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9 张表的分工</w:t>
      </w:r>
    </w:p>
    <w:tbl>
      <w:tblPr>
        <w:tblStyle w:val="TableGrid"/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2267"/>
        <w:gridCol w:w="1077"/>
        <w:gridCol w:w="3514"/>
        <w:gridCol w:w="2324"/>
      </w:tblGrid>
      <w:tr>
        <w:tc>
          <w:tcPr>
            <w:tcW w:type="dxa" w:w="2268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表名</w:t>
            </w:r>
          </w:p>
        </w:tc>
        <w:tc>
          <w:tcPr>
            <w:tcW w:type="dxa" w:w="107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行数</w:t>
            </w:r>
          </w:p>
        </w:tc>
        <w:tc>
          <w:tcPr>
            <w:tcW w:type="dxa" w:w="3515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业务含义</w:t>
            </w:r>
          </w:p>
        </w:tc>
        <w:tc>
          <w:tcPr>
            <w:tcW w:type="dxa" w:w="2324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在分析中的作用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orders</w:t>
            </w:r>
          </w:p>
        </w:tc>
        <w:tc>
          <w:tcPr>
            <w:tcW w:type="dxa" w:w="1077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99,441</w:t>
            </w:r>
          </w:p>
        </w:tc>
        <w:tc>
          <w:tcPr>
            <w:tcW w:type="dxa" w:w="351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订单主表，含 5 个关键时间戳</w:t>
            </w:r>
          </w:p>
        </w:tc>
        <w:tc>
          <w:tcPr>
            <w:tcW w:type="dxa" w:w="232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★ 计算各环节时长</w:t>
            </w:r>
          </w:p>
        </w:tc>
      </w:tr>
      <w:tr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order_items</w:t>
            </w:r>
          </w:p>
        </w:tc>
        <w:tc>
          <w:tcPr>
            <w:tcW w:type="dxa" w:w="1077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112,650</w:t>
            </w:r>
          </w:p>
        </w:tc>
        <w:tc>
          <w:tcPr>
            <w:tcW w:type="dxa" w:w="3515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订单明细：商品、单价、运费、发货期限</w:t>
            </w:r>
          </w:p>
        </w:tc>
        <w:tc>
          <w:tcPr>
            <w:tcW w:type="dxa" w:w="2324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★ 超期发货判定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order_reviews</w:t>
            </w:r>
          </w:p>
        </w:tc>
        <w:tc>
          <w:tcPr>
            <w:tcW w:type="dxa" w:w="1077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99,224</w:t>
            </w:r>
          </w:p>
        </w:tc>
        <w:tc>
          <w:tcPr>
            <w:tcW w:type="dxa" w:w="351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评价：1-5 星评分 + 文字评论</w:t>
            </w:r>
          </w:p>
        </w:tc>
        <w:tc>
          <w:tcPr>
            <w:tcW w:type="dxa" w:w="232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★ 被解释变量</w:t>
            </w:r>
          </w:p>
        </w:tc>
      </w:tr>
      <w:tr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customers</w:t>
            </w:r>
          </w:p>
        </w:tc>
        <w:tc>
          <w:tcPr>
            <w:tcW w:type="dxa" w:w="1077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99,441</w:t>
            </w:r>
          </w:p>
        </w:tc>
        <w:tc>
          <w:tcPr>
            <w:tcW w:type="dxa" w:w="3515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客户城市、州、邮编</w:t>
            </w:r>
          </w:p>
        </w:tc>
        <w:tc>
          <w:tcPr>
            <w:tcW w:type="dxa" w:w="2324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地理因素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sellers</w:t>
            </w:r>
          </w:p>
        </w:tc>
        <w:tc>
          <w:tcPr>
            <w:tcW w:type="dxa" w:w="1077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3,095</w:t>
            </w:r>
          </w:p>
        </w:tc>
        <w:tc>
          <w:tcPr>
            <w:tcW w:type="dxa" w:w="351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卖家城市、州、邮编</w:t>
            </w:r>
          </w:p>
        </w:tc>
        <w:tc>
          <w:tcPr>
            <w:tcW w:type="dxa" w:w="232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卖家因素</w:t>
            </w:r>
          </w:p>
        </w:tc>
      </w:tr>
      <w:tr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products</w:t>
            </w:r>
          </w:p>
        </w:tc>
        <w:tc>
          <w:tcPr>
            <w:tcW w:type="dxa" w:w="1077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32,951</w:t>
            </w:r>
          </w:p>
        </w:tc>
        <w:tc>
          <w:tcPr>
            <w:tcW w:type="dxa" w:w="3515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商品品类、重量、尺寸</w:t>
            </w:r>
          </w:p>
        </w:tc>
        <w:tc>
          <w:tcPr>
            <w:tcW w:type="dxa" w:w="2324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商品因素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order_payments</w:t>
            </w:r>
          </w:p>
        </w:tc>
        <w:tc>
          <w:tcPr>
            <w:tcW w:type="dxa" w:w="1077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103,886</w:t>
            </w:r>
          </w:p>
        </w:tc>
        <w:tc>
          <w:tcPr>
            <w:tcW w:type="dxa" w:w="351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支付方式、分期数、金额</w:t>
            </w:r>
          </w:p>
        </w:tc>
        <w:tc>
          <w:tcPr>
            <w:tcW w:type="dxa" w:w="232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辅助（证明影响很小）</w:t>
            </w:r>
          </w:p>
        </w:tc>
      </w:tr>
      <w:tr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geolocation</w:t>
            </w:r>
          </w:p>
        </w:tc>
        <w:tc>
          <w:tcPr>
            <w:tcW w:type="dxa" w:w="1077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1,000,163</w:t>
            </w:r>
          </w:p>
        </w:tc>
        <w:tc>
          <w:tcPr>
            <w:tcW w:type="dxa" w:w="3515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邮编对应经纬度</w:t>
            </w:r>
          </w:p>
        </w:tc>
        <w:tc>
          <w:tcPr>
            <w:tcW w:type="dxa" w:w="2324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计算真实距离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category_translation</w:t>
            </w:r>
          </w:p>
        </w:tc>
        <w:tc>
          <w:tcPr>
            <w:tcW w:type="dxa" w:w="1077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71</w:t>
            </w:r>
          </w:p>
        </w:tc>
        <w:tc>
          <w:tcPr>
            <w:tcW w:type="dxa" w:w="351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品类葡语→英语</w:t>
            </w:r>
          </w:p>
        </w:tc>
        <w:tc>
          <w:tcPr>
            <w:tcW w:type="dxa" w:w="232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品类可读性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rFonts w:ascii="微软雅黑" w:hAnsi="微软雅黑" w:eastAsia="微软雅黑"/>
          <w:b/>
          <w:color w:val="6B7280"/>
          <w:sz w:val="19"/>
        </w:rPr>
        <w:t>▍表间关系（外键约束已验证，孤儿记录为 0）</w:t>
      </w:r>
    </w:p>
    <w:tbl>
      <w:tblPr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9184"/>
      </w:tblGrid>
      <w:tr>
        <w:tc>
          <w:tcPr>
            <w:tcW w:type="dxa" w:w="9184"/>
            <w:shd w:val="clear" w:color="auto" w:fill="F7F8FA"/>
            <w:tcBorders>
              <w:top w:val="single" w:sz="4" w:color="E0E3E8"/>
              <w:left w:val="single" w:sz="4" w:color="E0E3E8"/>
              <w:bottom w:val="single" w:sz="4" w:color="E0E3E8"/>
              <w:right w:val="single" w:sz="4" w:color="E0E3E8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customers ──1:N──&gt; orders ──1:N──&gt; order_items &lt;──N:1── products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                  │                 └────N:1────────&gt; sellers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                  ├──1:N──&gt; order_payments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                  └──1:N──&gt; order_reviews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products.product_category_name ──N:1──&gt; product_category_translation</w:t>
            </w:r>
          </w:p>
        </w:tc>
      </w:tr>
    </w:tbl>
    <w:p>
      <w:pPr>
        <w:spacing w:after="20"/>
      </w:pP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1.2  </w:t>
      </w:r>
      <w:r>
        <w:rPr>
          <w:rFonts w:ascii="微软雅黑" w:hAnsi="微软雅黑" w:eastAsia="微软雅黑"/>
          <w:b/>
          <w:color w:val="2E5C8A"/>
          <w:sz w:val="29"/>
        </w:rPr>
        <w:t>两个必须注意的数据陷阱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18039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_7.1关键字段缺失率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803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微软雅黑" w:hAnsi="微软雅黑" w:eastAsia="微软雅黑"/>
          <w:color w:val="6B7280"/>
          <w:sz w:val="19"/>
        </w:rPr>
        <w:t>图 1-1  关键字段缺失率：评论标题缺失 88.3%、评论内容缺失 58.7%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11960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_7.4顾客标识的唯一性（说明为何必须用customer_unique_id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196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微软雅黑" w:hAnsi="微软雅黑" w:eastAsia="微软雅黑"/>
          <w:color w:val="6B7280"/>
          <w:sz w:val="19"/>
        </w:rPr>
        <w:t>图 1-2  顾客标识唯一性：99,441 个 customer_id 各不相同，真实客户仅 96,096 人</w:t>
      </w:r>
    </w:p>
    <w:tbl>
      <w:tblPr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9184"/>
      </w:tblGrid>
      <w:tr>
        <w:tc>
          <w:tcPr>
            <w:tcW w:type="dxa" w:w="9184"/>
            <w:shd w:val="clear" w:color="auto" w:fill="FFF8E1"/>
            <w:tcBorders>
              <w:top w:val="single" w:sz="4" w:color="E8A33D"/>
              <w:left w:val="single" w:sz="20" w:color="E8A33D"/>
              <w:bottom w:val="single" w:sz="4" w:color="E8A33D"/>
              <w:right w:val="single" w:sz="4" w:color="E8A33D"/>
            </w:tcBorders>
          </w:tcPr>
          <w:p>
            <w:pPr>
              <w:spacing w:before="60" w:after="40"/>
            </w:pPr>
            <w:r/>
            <w:r>
              <w:rPr>
                <w:rFonts w:ascii="微软雅黑" w:hAnsi="微软雅黑" w:eastAsia="微软雅黑"/>
                <w:b/>
                <w:color w:val="8A5A00"/>
                <w:sz w:val="22"/>
              </w:rPr>
              <w:t>陷阱一：customer_id ≠ customer_unique_id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customers 表有 99,441 行，唯一 customer_id 也是 99,441 个——每笔订单都生成新的 customer_id。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真正代表"同一个人"的是 customer_unique_id（96,096 个）。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如果误用 customer_id 计算复购率，会得到 0% 的错误结论。真实复购率约 3.1%。</w:t>
            </w:r>
          </w:p>
        </w:tc>
      </w:tr>
    </w:tbl>
    <w:p>
      <w:pPr>
        <w:spacing w:after="20"/>
      </w:pPr>
    </w:p>
    <w:tbl>
      <w:tblPr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9184"/>
      </w:tblGrid>
      <w:tr>
        <w:tc>
          <w:tcPr>
            <w:tcW w:type="dxa" w:w="9184"/>
            <w:shd w:val="clear" w:color="auto" w:fill="FFF8E1"/>
            <w:tcBorders>
              <w:top w:val="single" w:sz="4" w:color="E8A33D"/>
              <w:left w:val="single" w:sz="20" w:color="E8A33D"/>
              <w:bottom w:val="single" w:sz="4" w:color="E8A33D"/>
              <w:right w:val="single" w:sz="4" w:color="E8A33D"/>
            </w:tcBorders>
          </w:tcPr>
          <w:p>
            <w:pPr>
              <w:spacing w:before="60" w:after="40"/>
            </w:pPr>
            <w:r/>
            <w:r>
              <w:rPr>
                <w:rFonts w:ascii="微软雅黑" w:hAnsi="微软雅黑" w:eastAsia="微软雅黑"/>
                <w:b/>
                <w:color w:val="8A5A00"/>
                <w:sz w:val="22"/>
              </w:rPr>
              <w:t>陷阱二：平均值会骗人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运输时长平均值 9.33 天，但中位数只有 7.10 天，p90 达 18.90 天，最大 205 天。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均值 &gt; 中位数说明分布右偏——平均值被少数极端慢单拉高了。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因此本报告在描述时长时同时给出均值与中位数，并在相关分析中同时计算 Pearson 与 Spearman。</w:t>
            </w:r>
          </w:p>
        </w:tc>
      </w:tr>
    </w:tbl>
    <w:p>
      <w:pPr>
        <w:spacing w:after="20"/>
      </w:pP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1.3  </w:t>
      </w:r>
      <w:r>
        <w:rPr>
          <w:rFonts w:ascii="微软雅黑" w:hAnsi="微软雅黑" w:eastAsia="微软雅黑"/>
          <w:b/>
          <w:color w:val="2E5C8A"/>
          <w:sz w:val="29"/>
        </w:rPr>
        <w:t>数据导入与视图设计</w:t>
      </w:r>
    </w:p>
    <w:p>
      <w:pPr>
        <w:spacing w:before="0" w:after="120"/>
        <w:ind w:firstLine="454"/>
      </w:pPr>
      <w:r>
        <w:rPr>
          <w:rFonts w:ascii="宋体" w:hAnsi="宋体" w:eastAsia="宋体"/>
          <w:b w:val="0"/>
          <w:i w:val="0"/>
          <w:sz w:val="23"/>
        </w:rPr>
        <w:t>使用 psql 的 \copy 命令（客户端读取）导入 9 个 CSV，因为服务端 COPY 需要 pg_read_server_files 超级用户权限。逐表核对行数与源文件一致。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6B7280"/>
          <w:sz w:val="19"/>
        </w:rPr>
        <w:t>▍导入命令示例（\copy 是 psql 元命令，需在脚本文件中执行）</w:t>
      </w:r>
    </w:p>
    <w:tbl>
      <w:tblPr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9184"/>
      </w:tblGrid>
      <w:tr>
        <w:tc>
          <w:tcPr>
            <w:tcW w:type="dxa" w:w="9184"/>
            <w:shd w:val="clear" w:color="auto" w:fill="F7F8FA"/>
            <w:tcBorders>
              <w:top w:val="single" w:sz="4" w:color="E0E3E8"/>
              <w:left w:val="single" w:sz="4" w:color="E0E3E8"/>
              <w:bottom w:val="single" w:sz="4" w:color="E0E3E8"/>
              <w:right w:val="single" w:sz="4" w:color="E0E3E8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\copy customers (customer_id, customer_unique_id, customer_zip_code_prefix,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             customer_city, customer_state)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FROM 'C:/Users/.../olist_customers_dataset.csv'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WITH (FORMAT csv, HEADER true, ENCODING 'UTF8', NULL '');</w:t>
            </w:r>
          </w:p>
        </w:tc>
      </w:tr>
    </w:tbl>
    <w:p>
      <w:pPr>
        <w:spacing w:after="20"/>
      </w:pPr>
    </w:p>
    <w:p>
      <w:pPr>
        <w:spacing w:before="0" w:after="120"/>
        <w:ind w:firstLine="454"/>
      </w:pPr>
      <w:r>
        <w:rPr>
          <w:rFonts w:ascii="宋体" w:hAnsi="宋体" w:eastAsia="宋体"/>
          <w:b w:val="0"/>
          <w:i w:val="0"/>
          <w:sz w:val="23"/>
        </w:rPr>
        <w:t>为减少重复 JOIN，建立了 3 个分析视图。其中 v_orders_full 是订单宽表，把订单、客户、金额合计、支付合计、评分合并成一行一单。</w:t>
      </w: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1.4  </w:t>
      </w:r>
      <w:r>
        <w:rPr>
          <w:rFonts w:ascii="微软雅黑" w:hAnsi="微软雅黑" w:eastAsia="微软雅黑"/>
          <w:b/>
          <w:color w:val="2E5C8A"/>
          <w:sz w:val="29"/>
        </w:rPr>
        <w:t>为 BI 构建宽表</w:t>
      </w:r>
    </w:p>
    <w:p>
      <w:pPr>
        <w:spacing w:before="0" w:after="120"/>
        <w:ind w:firstLine="454"/>
      </w:pPr>
      <w:r>
        <w:rPr>
          <w:rFonts w:ascii="宋体" w:hAnsi="宋体" w:eastAsia="宋体"/>
          <w:b w:val="0"/>
          <w:i w:val="0"/>
          <w:sz w:val="23"/>
        </w:rPr>
        <w:t>直接给 Power BI 提供 9 张表会让建模变得复杂（需手工建 6 条关系、且一对多 JOIN 容易重复计数）。因此专门建了一个订单级宽表 v_pbi_orders，把 7 张表的信息压成一行一单。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6B7280"/>
          <w:sz w:val="19"/>
        </w:rPr>
        <w:t>▍v_pbi_orders 视图（订单级宽表，30 个字段）</w:t>
      </w:r>
    </w:p>
    <w:tbl>
      <w:tblPr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9184"/>
      </w:tblGrid>
      <w:tr>
        <w:tc>
          <w:tcPr>
            <w:tcW w:type="dxa" w:w="9184"/>
            <w:shd w:val="clear" w:color="auto" w:fill="F7F8FA"/>
            <w:tcBorders>
              <w:top w:val="single" w:sz="4" w:color="E0E3E8"/>
              <w:left w:val="single" w:sz="4" w:color="E0E3E8"/>
              <w:bottom w:val="single" w:sz="4" w:color="E0E3E8"/>
              <w:right w:val="single" w:sz="4" w:color="E0E3E8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CREATE VIEW olist.v_pbi_orders AS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WITH item_agg AS (               -- ① 明细聚合成一单一行，避免重复计数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SELECT order_id, sum(price) AS items_total,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       count(*) AS item_count, max(shipping_limit_date) AS ship_limit,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       count(DISTINCT seller_id) AS seller_count,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       min(seller_id) AS main_seller_id, min(product_id) AS main_product_id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FROM olist.order_items GROUP BY order_id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), ...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SELECT o.order_id, o.order_status,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B7A3E"/>
                <w:sz w:val="17"/>
              </w:rPr>
              <w:t xml:space="preserve">       -- 过程指标全部预计算，BI 端零 DAX 即可拖拽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   CASE WHEN o.order_delivered_customer_date &gt; o.order_estimated_delivery_date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        THEN 1 ELSE 0 END AS is_late,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   round((EXTRACT(EPOCH FROM (o.order_delivered_carrier_date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           - o.order_approved_at))/86400)::numeric, 2) AS prep_days, ...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FROM olist.orders o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LEFT JOIN item_agg a ON a.order_id = o.order_id   -- ★ LEFT JOIN 保留全部订单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JOIN olist.customers c ON c.customer_id = o.customer_id ...;</w:t>
            </w:r>
          </w:p>
        </w:tc>
      </w:tr>
    </w:tbl>
    <w:p>
      <w:pPr>
        <w:spacing w:after="20"/>
      </w:pPr>
    </w:p>
    <w:tbl>
      <w:tblPr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9184"/>
      </w:tblGrid>
      <w:tr>
        <w:tc>
          <w:tcPr>
            <w:tcW w:type="dxa" w:w="9184"/>
            <w:shd w:val="clear" w:color="auto" w:fill="FFF8E1"/>
            <w:tcBorders>
              <w:top w:val="single" w:sz="4" w:color="E8A33D"/>
              <w:left w:val="single" w:sz="20" w:color="E8A33D"/>
              <w:bottom w:val="single" w:sz="4" w:color="E8A33D"/>
              <w:right w:val="single" w:sz="4" w:color="E8A33D"/>
            </w:tcBorders>
          </w:tcPr>
          <w:p>
            <w:pPr>
              <w:spacing w:before="60" w:after="40"/>
            </w:pPr>
            <w:r/>
            <w:r>
              <w:rPr>
                <w:rFonts w:ascii="微软雅黑" w:hAnsi="微软雅黑" w:eastAsia="微软雅黑"/>
                <w:b/>
                <w:color w:val="8A5A00"/>
                <w:sz w:val="22"/>
              </w:rPr>
              <w:t>一个必须用 LEFT JOIN 的细节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第一版用 INNER JOIN 连商品明细，结果只有 98,666 单——775 笔订单没有商品明细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（603 unavailable、164 canceled 等）被丢掉了，导致差评率从 14.63% 变成 14.13%。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改用 LEFT JOIN 后全量 99,441 单都在，差评率与报告完全一致。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同时把各标记位在"无法判断"时设为 NULL 而非 0，这样 BI 里的 DIVIDE 会自动正确排除。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400" w:after="240"/>
        <w:pBdr>
          <w:bottom w:val="single" w:sz="10" w:color="1E3A5F"/>
        </w:pBdr>
      </w:pPr>
      <w:r>
        <w:rPr>
          <w:rFonts w:ascii="微软雅黑" w:hAnsi="微软雅黑" w:eastAsia="微软雅黑"/>
          <w:b/>
          <w:color w:val="1E3A5F"/>
          <w:sz w:val="36"/>
        </w:rPr>
        <w:t xml:space="preserve">第二章  </w:t>
      </w:r>
      <w:r>
        <w:rPr>
          <w:rFonts w:ascii="微软雅黑" w:hAnsi="微软雅黑" w:eastAsia="微软雅黑"/>
          <w:b/>
          <w:color w:val="1E3A5F"/>
          <w:sz w:val="36"/>
        </w:rPr>
        <w:t>五个核心结论</w:t>
      </w:r>
    </w:p>
    <w:p>
      <w:pPr>
        <w:spacing w:before="0" w:after="120"/>
        <w:ind w:firstLine="454"/>
      </w:pPr>
      <w:r>
        <w:rPr>
          <w:rFonts w:ascii="宋体" w:hAnsi="宋体" w:eastAsia="宋体"/>
          <w:b w:val="0"/>
          <w:i w:val="0"/>
          <w:sz w:val="23"/>
        </w:rPr>
        <w:t>本章是报告主体。每个结论都给出「现象 → 证据 → 业务含义」三段。</w:t>
      </w: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2.1  </w:t>
      </w:r>
      <w:r>
        <w:rPr>
          <w:rFonts w:ascii="微软雅黑" w:hAnsi="微软雅黑" w:eastAsia="微软雅黑"/>
          <w:b/>
          <w:color w:val="2E5C8A"/>
          <w:sz w:val="29"/>
        </w:rPr>
        <w:t>结论一：「是否迟到」是差评最强预测因子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迟到 vs 准时的直接对比</w:t>
      </w:r>
    </w:p>
    <w:tbl>
      <w:tblPr>
        <w:tblStyle w:val="TableGrid"/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2267"/>
        <w:gridCol w:w="2267"/>
        <w:gridCol w:w="2267"/>
        <w:gridCol w:w="2381"/>
      </w:tblGrid>
      <w:tr>
        <w:tc>
          <w:tcPr>
            <w:tcW w:type="dxa" w:w="2268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准时</w:t>
            </w:r>
          </w:p>
        </w:tc>
        <w:tc>
          <w:tcPr>
            <w:tcW w:type="dxa" w:w="2268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迟到</w:t>
            </w:r>
          </w:p>
        </w:tc>
        <w:tc>
          <w:tcPr>
            <w:tcW w:type="dxa" w:w="2381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差距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差评率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9.18%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53.94%</w:t>
            </w:r>
          </w:p>
        </w:tc>
        <w:tc>
          <w:tcPr>
            <w:tcW w:type="dxa" w:w="238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5.9 倍</w:t>
            </w:r>
          </w:p>
        </w:tc>
      </w:tr>
      <w:tr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平均评分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4.30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2.61</w:t>
            </w:r>
          </w:p>
        </w:tc>
        <w:tc>
          <w:tcPr>
            <w:tcW w:type="dxa" w:w="2381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−1.69 分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样本量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88,649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7,827</w:t>
            </w:r>
          </w:p>
        </w:tc>
        <w:tc>
          <w:tcPr>
            <w:tcW w:type="dxa" w:w="238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</w:tbl>
    <w:p>
      <w:pPr>
        <w:spacing w:after="20"/>
      </w:pPr>
    </w:p>
    <w:p>
      <w:pPr>
        <w:spacing w:before="0" w:after="120"/>
        <w:ind w:firstLine="454"/>
      </w:pPr>
      <w:r>
        <w:rPr>
          <w:rFonts w:ascii="宋体" w:hAnsi="宋体" w:eastAsia="宋体"/>
          <w:b w:val="0"/>
          <w:i w:val="0"/>
          <w:sz w:val="23"/>
        </w:rPr>
        <w:t>三种完全不同原理的方法都把「是否迟到」排在第一或第二：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五种方法对「是否迟到」的估计</w:t>
      </w:r>
    </w:p>
    <w:tbl>
      <w:tblPr>
        <w:tblStyle w:val="TableGrid"/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2494"/>
        <w:gridCol w:w="6689"/>
      </w:tblGrid>
      <w:tr>
        <w:tc>
          <w:tcPr>
            <w:tcW w:type="dxa" w:w="2494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方法</w:t>
            </w:r>
          </w:p>
        </w:tc>
        <w:tc>
          <w:tcPr>
            <w:tcW w:type="dxa" w:w="6690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该因素的排名与数值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OLS 标准化系数</w:t>
            </w:r>
          </w:p>
        </w:tc>
        <w:tc>
          <w:tcPr>
            <w:tcW w:type="dxa" w:w="6690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排名 1：β = −0.277（t = −56.0，p &lt; 1e-300）</w:t>
            </w:r>
          </w:p>
        </w:tc>
      </w:tr>
      <w:tr>
        <w:tc>
          <w:tcPr>
            <w:tcW w:type="dxa" w:w="2494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Logistic 优势比</w:t>
            </w:r>
          </w:p>
        </w:tc>
        <w:tc>
          <w:tcPr>
            <w:tcW w:type="dxa" w:w="6690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排名 2：OR = 1.457（95% CI 1.428–1.486）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随机森林重要性</w:t>
            </w:r>
          </w:p>
        </w:tc>
        <w:tc>
          <w:tcPr>
            <w:tcW w:type="dxa" w:w="6690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排名 1：39.60%（第二名的运输为 30.33%）</w:t>
            </w:r>
          </w:p>
        </w:tc>
      </w:tr>
      <w:tr>
        <w:tc>
          <w:tcPr>
            <w:tcW w:type="dxa" w:w="2494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效应量</w:t>
            </w:r>
          </w:p>
        </w:tc>
        <w:tc>
          <w:tcPr>
            <w:tcW w:type="dxa" w:w="6690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Cohen's d = −1.41（极大效应，&gt;0.8 即为大）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卡方检验</w:t>
            </w:r>
          </w:p>
        </w:tc>
        <w:tc>
          <w:tcPr>
            <w:tcW w:type="dxa" w:w="6690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χ² = 11,482.3，Cramér's V = 0.3504（中等关联）</w:t>
            </w:r>
          </w:p>
        </w:tc>
      </w:tr>
    </w:tbl>
    <w:p>
      <w:pPr>
        <w:spacing w:after="20"/>
      </w:pPr>
    </w:p>
    <w:tbl>
      <w:tblPr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9184"/>
      </w:tblGrid>
      <w:tr>
        <w:tc>
          <w:tcPr>
            <w:tcW w:type="dxa" w:w="9184"/>
            <w:shd w:val="clear" w:color="auto" w:fill="FFF8E1"/>
            <w:tcBorders>
              <w:top w:val="single" w:sz="4" w:color="E8A33D"/>
              <w:left w:val="single" w:sz="20" w:color="E8A33D"/>
              <w:bottom w:val="single" w:sz="4" w:color="E8A33D"/>
              <w:right w:val="single" w:sz="4" w:color="E8A33D"/>
            </w:tcBorders>
          </w:tcPr>
          <w:p>
            <w:pPr>
              <w:spacing w:before="60" w:after="40"/>
            </w:pPr>
            <w:r/>
            <w:r>
              <w:rPr>
                <w:rFonts w:ascii="微软雅黑" w:hAnsi="微软雅黑" w:eastAsia="微软雅黑"/>
                <w:b/>
                <w:color w:val="8A5A00"/>
                <w:sz w:val="22"/>
              </w:rPr>
              <w:t>业务含义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客户不是不能等，而是不能接受承诺落空。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满意度管理的重点是"守住承诺"，而不是"盲目提速"。</w:t>
            </w:r>
          </w:p>
        </w:tc>
      </w:tr>
    </w:tbl>
    <w:p>
      <w:pPr>
        <w:spacing w:after="20"/>
      </w:pP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2.2  </w:t>
      </w:r>
      <w:r>
        <w:rPr>
          <w:rFonts w:ascii="微软雅黑" w:hAnsi="微软雅黑" w:eastAsia="微软雅黑"/>
          <w:b/>
          <w:color w:val="2E5C8A"/>
          <w:sz w:val="29"/>
        </w:rPr>
        <w:t>结论二：关系是阈值型（悬崖），不是线性（斜坡）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19970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悬崖效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997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微软雅黑" w:hAnsi="微软雅黑" w:eastAsia="微软雅黑"/>
          <w:color w:val="6B7280"/>
          <w:sz w:val="19"/>
        </w:rPr>
        <w:t>图 2-1  悬崖效应：已超期组差评率 52.8%，未超期各档仅在 8.8%–11.1% 之间持平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预估富余分档与差评率</w:t>
      </w:r>
    </w:p>
    <w:tbl>
      <w:tblPr>
        <w:tblStyle w:val="TableGrid"/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2834"/>
        <w:gridCol w:w="2040"/>
        <w:gridCol w:w="2040"/>
        <w:gridCol w:w="2267"/>
      </w:tblGrid>
      <w:tr>
        <w:tc>
          <w:tcPr>
            <w:tcW w:type="dxa" w:w="2835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预估富余档</w:t>
            </w:r>
          </w:p>
        </w:tc>
        <w:tc>
          <w:tcPr>
            <w:tcW w:type="dxa" w:w="2041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订单数</w:t>
            </w:r>
          </w:p>
        </w:tc>
        <w:tc>
          <w:tcPr>
            <w:tcW w:type="dxa" w:w="2041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差评率</w:t>
            </w:r>
          </w:p>
        </w:tc>
        <w:tc>
          <w:tcPr>
            <w:tcW w:type="dxa" w:w="2268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平均评分</w:t>
            </w:r>
          </w:p>
        </w:tc>
      </w:tr>
      <w:tr>
        <w:tc>
          <w:tcPr>
            <w:tcW w:type="dxa" w:w="283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已超期（负富余）</w:t>
            </w:r>
          </w:p>
        </w:tc>
        <w:tc>
          <w:tcPr>
            <w:tcW w:type="dxa" w:w="2041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7,821</w:t>
            </w:r>
          </w:p>
        </w:tc>
        <w:tc>
          <w:tcPr>
            <w:tcW w:type="dxa" w:w="2041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52.77%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2.61</w:t>
            </w:r>
          </w:p>
        </w:tc>
      </w:tr>
      <w:tr>
        <w:tc>
          <w:tcPr>
            <w:tcW w:type="dxa" w:w="2835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富余 0–3 天</w:t>
            </w:r>
          </w:p>
        </w:tc>
        <w:tc>
          <w:tcPr>
            <w:tcW w:type="dxa" w:w="2041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4,744</w:t>
            </w:r>
          </w:p>
        </w:tc>
        <w:tc>
          <w:tcPr>
            <w:tcW w:type="dxa" w:w="2041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11.16%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4.14</w:t>
            </w:r>
          </w:p>
        </w:tc>
      </w:tr>
      <w:tr>
        <w:tc>
          <w:tcPr>
            <w:tcW w:type="dxa" w:w="283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富余 3–7 天</w:t>
            </w:r>
          </w:p>
        </w:tc>
        <w:tc>
          <w:tcPr>
            <w:tcW w:type="dxa" w:w="2041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12,586</w:t>
            </w:r>
          </w:p>
        </w:tc>
        <w:tc>
          <w:tcPr>
            <w:tcW w:type="dxa" w:w="2041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9.83%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4.23</w:t>
            </w:r>
          </w:p>
        </w:tc>
      </w:tr>
      <w:tr>
        <w:tc>
          <w:tcPr>
            <w:tcW w:type="dxa" w:w="2835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富余 7–15 天</w:t>
            </w:r>
          </w:p>
        </w:tc>
        <w:tc>
          <w:tcPr>
            <w:tcW w:type="dxa" w:w="2041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41,719</w:t>
            </w:r>
          </w:p>
        </w:tc>
        <w:tc>
          <w:tcPr>
            <w:tcW w:type="dxa" w:w="2041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8.79%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4.32</w:t>
            </w:r>
          </w:p>
        </w:tc>
      </w:tr>
      <w:tr>
        <w:tc>
          <w:tcPr>
            <w:tcW w:type="dxa" w:w="283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富余 15 天以上</w:t>
            </w:r>
          </w:p>
        </w:tc>
        <w:tc>
          <w:tcPr>
            <w:tcW w:type="dxa" w:w="2041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29,606</w:t>
            </w:r>
          </w:p>
        </w:tc>
        <w:tc>
          <w:tcPr>
            <w:tcW w:type="dxa" w:w="2041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9.14%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4.26</w:t>
            </w:r>
          </w:p>
        </w:tc>
      </w:tr>
    </w:tbl>
    <w:p>
      <w:pPr>
        <w:spacing w:after="20"/>
      </w:pPr>
    </w:p>
    <w:p>
      <w:pPr>
        <w:spacing w:before="0" w:after="120"/>
        <w:ind w:firstLine="454"/>
      </w:pPr>
      <w:r>
        <w:rPr>
          <w:rFonts w:ascii="宋体" w:hAnsi="宋体" w:eastAsia="宋体"/>
          <w:b w:val="0"/>
          <w:i w:val="0"/>
          <w:sz w:val="23"/>
        </w:rPr>
        <w:t>这个结论可以用一个反证来验证：把「已超期」的样本剔除后重新计算相关系数，整体相关性几乎消失。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分段相关系数：整体 vs 未超期子集</w:t>
      </w:r>
    </w:p>
    <w:tbl>
      <w:tblPr>
        <w:tblStyle w:val="TableGrid"/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3514"/>
        <w:gridCol w:w="1814"/>
        <w:gridCol w:w="1700"/>
        <w:gridCol w:w="2154"/>
      </w:tblGrid>
      <w:tr>
        <w:tc>
          <w:tcPr>
            <w:tcW w:type="dxa" w:w="3515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子集</w:t>
            </w:r>
          </w:p>
        </w:tc>
        <w:tc>
          <w:tcPr>
            <w:tcW w:type="dxa" w:w="1814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Pearson r</w:t>
            </w:r>
          </w:p>
        </w:tc>
        <w:tc>
          <w:tcPr>
            <w:tcW w:type="dxa" w:w="1701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 值</w:t>
            </w:r>
          </w:p>
        </w:tc>
        <w:tc>
          <w:tcPr>
            <w:tcW w:type="dxa" w:w="2154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解读</w:t>
            </w:r>
          </w:p>
        </w:tc>
      </w:tr>
      <w:tr>
        <w:tc>
          <w:tcPr>
            <w:tcW w:type="dxa" w:w="351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全部样本（n = 94,138）</w:t>
            </w:r>
          </w:p>
        </w:tc>
        <w:tc>
          <w:tcPr>
            <w:tcW w:type="dxa" w:w="181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0.2559</w:t>
            </w:r>
          </w:p>
        </w:tc>
        <w:tc>
          <w:tcPr>
            <w:tcW w:type="dxa" w:w="1701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≈0</w:t>
            </w:r>
          </w:p>
        </w:tc>
        <w:tc>
          <w:tcPr>
            <w:tcW w:type="dxa" w:w="215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看起来中等相关</w:t>
            </w:r>
          </w:p>
        </w:tc>
      </w:tr>
      <w:tr>
        <w:tc>
          <w:tcPr>
            <w:tcW w:type="dxa" w:w="3515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仅未超期子集（n = 87,013）</w:t>
            </w:r>
          </w:p>
        </w:tc>
        <w:tc>
          <w:tcPr>
            <w:tcW w:type="dxa" w:w="181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0.0241</w:t>
            </w:r>
          </w:p>
        </w:tc>
        <w:tc>
          <w:tcPr>
            <w:tcW w:type="dxa" w:w="1701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1.38e−12</w:t>
            </w:r>
          </w:p>
        </w:tc>
        <w:tc>
          <w:tcPr>
            <w:tcW w:type="dxa" w:w="2154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★ 关系几乎消失</w:t>
            </w:r>
          </w:p>
        </w:tc>
      </w:tr>
    </w:tbl>
    <w:p>
      <w:pPr>
        <w:spacing w:after="2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169850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关键散点与趋势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69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微软雅黑" w:hAnsi="微软雅黑" w:eastAsia="微软雅黑"/>
          <w:color w:val="6B7280"/>
          <w:sz w:val="19"/>
        </w:rPr>
        <w:t>图 2-2  散点与分箱均值曲线：趋势在 20 天左右开始加速下滑，呈明显非线性</w:t>
      </w:r>
    </w:p>
    <w:tbl>
      <w:tblPr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9184"/>
      </w:tblGrid>
      <w:tr>
        <w:tc>
          <w:tcPr>
            <w:tcW w:type="dxa" w:w="9184"/>
            <w:shd w:val="clear" w:color="auto" w:fill="FDECEA"/>
            <w:tcBorders>
              <w:top w:val="single" w:sz="4" w:color="C0392B"/>
              <w:left w:val="single" w:sz="20" w:color="C0392B"/>
              <w:bottom w:val="single" w:sz="4" w:color="C0392B"/>
              <w:right w:val="single" w:sz="4" w:color="C0392B"/>
            </w:tcBorders>
          </w:tcPr>
          <w:p>
            <w:pPr>
              <w:spacing w:before="60" w:after="40"/>
            </w:pPr>
            <w:r/>
            <w:r>
              <w:rPr>
                <w:rFonts w:ascii="微软雅黑" w:hAnsi="微软雅黑" w:eastAsia="微软雅黑"/>
                <w:b/>
                <w:color w:val="922B21"/>
                <w:sz w:val="22"/>
              </w:rPr>
              <w:t>这是全项目最重要的统计发现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整体相关系数 r = 0.2559 完全由"已超期"这 7.6% 的样本驱动。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在未超期范围内，富余天数与评分基本无关（r = 0.0241）。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真实关系是「阈值型（悬崖）」，不是「线性型（斜坡）」。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业务含义完全不同：若是斜坡 → 应追求"越送越快"；若是悬崖 → 应追求"绝不违约"。</w:t>
            </w:r>
          </w:p>
        </w:tc>
      </w:tr>
    </w:tbl>
    <w:p>
      <w:pPr>
        <w:spacing w:after="20"/>
      </w:pP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2.3  </w:t>
      </w:r>
      <w:r>
        <w:rPr>
          <w:rFonts w:ascii="微软雅黑" w:hAnsi="微软雅黑" w:eastAsia="微软雅黑"/>
          <w:b/>
          <w:color w:val="2E5C8A"/>
          <w:sz w:val="29"/>
        </w:rPr>
        <w:t>结论三：运输是瓶颈但不可控，备货可控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13580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1.1四段耗时拆解★这一步决定后面查哪里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358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微软雅黑" w:hAnsi="微软雅黑" w:eastAsia="微软雅黑"/>
          <w:color w:val="6B7280"/>
          <w:sz w:val="19"/>
        </w:rPr>
        <w:t>图 2-3  四段耗时拆解：审核 0.43 天、备货 2.81 天、运输 9.33 天、全程 12.56 天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四段耗时、占比与可控性</w:t>
      </w:r>
    </w:p>
    <w:tbl>
      <w:tblPr>
        <w:tblStyle w:val="TableGrid"/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2494"/>
        <w:gridCol w:w="1587"/>
        <w:gridCol w:w="1360"/>
        <w:gridCol w:w="1927"/>
        <w:gridCol w:w="1814"/>
      </w:tblGrid>
      <w:tr>
        <w:tc>
          <w:tcPr>
            <w:tcW w:type="dxa" w:w="2494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158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平均耗时</w:t>
            </w:r>
          </w:p>
        </w:tc>
        <w:tc>
          <w:tcPr>
            <w:tcW w:type="dxa" w:w="1361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占全程</w:t>
            </w:r>
          </w:p>
        </w:tc>
        <w:tc>
          <w:tcPr>
            <w:tcW w:type="dxa" w:w="1928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可控性</w:t>
            </w:r>
          </w:p>
        </w:tc>
        <w:tc>
          <w:tcPr>
            <w:tcW w:type="dxa" w:w="1814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判断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下单 → 审核</w:t>
            </w:r>
          </w:p>
        </w:tc>
        <w:tc>
          <w:tcPr>
            <w:tcW w:type="dxa" w:w="1587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0.43 天</w:t>
            </w:r>
          </w:p>
        </w:tc>
        <w:tc>
          <w:tcPr>
            <w:tcW w:type="dxa" w:w="1361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3.5%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181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可忽略</w:t>
            </w:r>
          </w:p>
        </w:tc>
      </w:tr>
      <w:tr>
        <w:tc>
          <w:tcPr>
            <w:tcW w:type="dxa" w:w="2494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审核 → 发货（备货）</w:t>
            </w:r>
          </w:p>
        </w:tc>
        <w:tc>
          <w:tcPr>
            <w:tcW w:type="dxa" w:w="1587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2.81 天</w:t>
            </w:r>
          </w:p>
        </w:tc>
        <w:tc>
          <w:tcPr>
            <w:tcW w:type="dxa" w:w="1361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22.3%</w:t>
            </w:r>
          </w:p>
        </w:tc>
        <w:tc>
          <w:tcPr>
            <w:tcW w:type="dxa" w:w="1928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★ 高</w:t>
            </w:r>
          </w:p>
        </w:tc>
        <w:tc>
          <w:tcPr>
            <w:tcW w:type="dxa" w:w="1814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中等，完全可控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发货 → 签收（运输）</w:t>
            </w:r>
          </w:p>
        </w:tc>
        <w:tc>
          <w:tcPr>
            <w:tcW w:type="dxa" w:w="1587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9.33 天</w:t>
            </w:r>
          </w:p>
        </w:tc>
        <w:tc>
          <w:tcPr>
            <w:tcW w:type="dxa" w:w="1361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74.2%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低（由距离决定）</w:t>
            </w:r>
          </w:p>
        </w:tc>
        <w:tc>
          <w:tcPr>
            <w:tcW w:type="dxa" w:w="181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★ 主要瓶颈</w:t>
            </w:r>
          </w:p>
        </w:tc>
      </w:tr>
    </w:tbl>
    <w:p>
      <w:pPr>
        <w:spacing w:after="20"/>
      </w:pPr>
    </w:p>
    <w:tbl>
      <w:tblPr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9184"/>
      </w:tblGrid>
      <w:tr>
        <w:tc>
          <w:tcPr>
            <w:tcW w:type="dxa" w:w="9184"/>
            <w:shd w:val="clear" w:color="auto" w:fill="FFF8E1"/>
            <w:tcBorders>
              <w:top w:val="single" w:sz="4" w:color="E8A33D"/>
              <w:left w:val="single" w:sz="20" w:color="E8A33D"/>
              <w:bottom w:val="single" w:sz="4" w:color="E8A33D"/>
              <w:right w:val="single" w:sz="4" w:color="E8A33D"/>
            </w:tcBorders>
          </w:tcPr>
          <w:p>
            <w:pPr>
              <w:spacing w:before="60" w:after="40"/>
            </w:pPr>
            <w:r/>
            <w:r>
              <w:rPr>
                <w:rFonts w:ascii="微软雅黑" w:hAnsi="微软雅黑" w:eastAsia="微软雅黑"/>
                <w:b/>
                <w:color w:val="8A5A00"/>
                <w:sz w:val="22"/>
              </w:rPr>
              <w:t>最大的问题 ≠ 最该改的问题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运输占 74.2%，是绝对的流程瓶颈；但它主要由客户与卖家的距离决定，平台改变不了。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备货只占 22.3%，却完全在平台和卖家的控制范围内。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所以改进优先级应该是「可控性 × 影响力」，而不是只看影响力。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特别是 9.06% 的超期发货订单——责任清晰、可考核、可改进。</w:t>
            </w:r>
          </w:p>
        </w:tc>
      </w:tr>
    </w:tbl>
    <w:p>
      <w:pPr>
        <w:spacing w:after="20"/>
      </w:pP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2.4  </w:t>
      </w:r>
      <w:r>
        <w:rPr>
          <w:rFonts w:ascii="微软雅黑" w:hAnsi="微软雅黑" w:eastAsia="微软雅黑"/>
          <w:b/>
          <w:color w:val="2E5C8A"/>
          <w:sz w:val="29"/>
        </w:rPr>
        <w:t>结论四：距离的作用被严重高估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距离效应在单因素与多因素下的对比</w:t>
      </w:r>
    </w:p>
    <w:tbl>
      <w:tblPr>
        <w:tblStyle w:val="TableGrid"/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2834"/>
        <w:gridCol w:w="3061"/>
        <w:gridCol w:w="3288"/>
      </w:tblGrid>
      <w:tr>
        <w:tc>
          <w:tcPr>
            <w:tcW w:type="dxa" w:w="2835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分析方式</w:t>
            </w:r>
          </w:p>
        </w:tc>
        <w:tc>
          <w:tcPr>
            <w:tcW w:type="dxa" w:w="3061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距离与评分的关系</w:t>
            </w:r>
          </w:p>
        </w:tc>
        <w:tc>
          <w:tcPr>
            <w:tcW w:type="dxa" w:w="3288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解读</w:t>
            </w:r>
          </w:p>
        </w:tc>
      </w:tr>
      <w:tr>
        <w:tc>
          <w:tcPr>
            <w:tcW w:type="dxa" w:w="283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Pearson 相关</w:t>
            </w:r>
          </w:p>
        </w:tc>
        <w:tc>
          <w:tcPr>
            <w:tcW w:type="dxa" w:w="306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r = −0.0580</w:t>
            </w:r>
          </w:p>
        </w:tc>
        <w:tc>
          <w:tcPr>
            <w:tcW w:type="dxa" w:w="328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弱负相关，看似"越远越不满"</w:t>
            </w:r>
          </w:p>
        </w:tc>
      </w:tr>
      <w:tr>
        <w:tc>
          <w:tcPr>
            <w:tcW w:type="dxa" w:w="2835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Cohen's d（跨州 vs 同州）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−0.12</w:t>
            </w:r>
          </w:p>
        </w:tc>
        <w:tc>
          <w:tcPr>
            <w:tcW w:type="dxa" w:w="3288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效应量可忽略</w:t>
            </w:r>
          </w:p>
        </w:tc>
      </w:tr>
      <w:tr>
        <w:tc>
          <w:tcPr>
            <w:tcW w:type="dxa" w:w="283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★ 多元回归（控制运输时长）</w:t>
            </w:r>
          </w:p>
        </w:tc>
        <w:tc>
          <w:tcPr>
            <w:tcW w:type="dxa" w:w="306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β = +0.0636（p &lt; 1e-300）</w:t>
            </w:r>
          </w:p>
        </w:tc>
        <w:tc>
          <w:tcPr>
            <w:tcW w:type="dxa" w:w="328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符号反转为正</w:t>
            </w:r>
          </w:p>
        </w:tc>
      </w:tr>
      <w:tr>
        <w:tc>
          <w:tcPr>
            <w:tcW w:type="dxa" w:w="2835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★ Logit（控制运输时长）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OR = 0.848（p &lt; 1e-300）</w:t>
            </w:r>
          </w:p>
        </w:tc>
        <w:tc>
          <w:tcPr>
            <w:tcW w:type="dxa" w:w="3288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距离越远，差评几率反而更低</w:t>
            </w:r>
          </w:p>
        </w:tc>
      </w:tr>
    </w:tbl>
    <w:p>
      <w:pPr>
        <w:spacing w:after="20"/>
      </w:pPr>
    </w:p>
    <w:tbl>
      <w:tblPr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9184"/>
      </w:tblGrid>
      <w:tr>
        <w:tc>
          <w:tcPr>
            <w:tcW w:type="dxa" w:w="9184"/>
            <w:shd w:val="clear" w:color="auto" w:fill="EDF4FB"/>
            <w:tcBorders>
              <w:top w:val="single" w:sz="4" w:color="4A90D9"/>
              <w:left w:val="single" w:sz="20" w:color="4A90D9"/>
              <w:bottom w:val="single" w:sz="4" w:color="4A90D9"/>
              <w:right w:val="single" w:sz="4" w:color="4A90D9"/>
            </w:tcBorders>
          </w:tcPr>
          <w:p>
            <w:pPr>
              <w:spacing w:before="60" w:after="40"/>
            </w:pPr>
            <w:r/>
            <w:r>
              <w:rPr>
                <w:rFonts w:ascii="微软雅黑" w:hAnsi="微软雅黑" w:eastAsia="微软雅黑"/>
                <w:b/>
                <w:color w:val="1E3A5F"/>
                <w:sz w:val="22"/>
              </w:rPr>
              <w:t>为什么会符号反转？（典型抑制效应）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距离与运输时长高度相关（r = 0.44）。距离远 → 运输慢 → 评分低，这是距离的"间接负效应"。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但在多元模型中，控制住"运输时长"后，问的就变成「同等运输时长下，远近还有什么差别」——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结果发现远距离订单评分反而略高。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可能原因：偏远地区客户预期更低、平台预估窗口更宽松。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方法论意义：不能用单因素相关系数断言"距离导致不满"。</w:t>
            </w:r>
          </w:p>
        </w:tc>
      </w:tr>
    </w:tbl>
    <w:p>
      <w:pPr>
        <w:spacing w:after="20"/>
      </w:pP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2.5  </w:t>
      </w:r>
      <w:r>
        <w:rPr>
          <w:rFonts w:ascii="微软雅黑" w:hAnsi="微软雅黑" w:eastAsia="微软雅黑"/>
          <w:b/>
          <w:color w:val="2E5C8A"/>
          <w:sz w:val="29"/>
        </w:rPr>
        <w:t>结论五：品类差评分两类，处置方式完全不同</w:t>
      </w:r>
    </w:p>
    <w:p>
      <w:pPr>
        <w:spacing w:before="0" w:after="120"/>
        <w:ind w:firstLine="454"/>
      </w:pPr>
      <w:r>
        <w:rPr>
          <w:rFonts w:ascii="宋体" w:hAnsi="宋体" w:eastAsia="宋体"/>
          <w:b w:val="0"/>
          <w:i w:val="0"/>
          <w:sz w:val="23"/>
        </w:rPr>
        <w:t>把「差评率」和「平均备货天数」并排看，高差评品类会分成两种截然不同的类型：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高差评品类的两种类型</w:t>
      </w:r>
    </w:p>
    <w:tbl>
      <w:tblPr>
        <w:tblStyle w:val="TableGrid"/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2267"/>
        <w:gridCol w:w="1020"/>
        <w:gridCol w:w="1247"/>
        <w:gridCol w:w="1247"/>
        <w:gridCol w:w="1247"/>
        <w:gridCol w:w="2154"/>
      </w:tblGrid>
      <w:tr>
        <w:tc>
          <w:tcPr>
            <w:tcW w:type="dxa" w:w="2268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品类</w:t>
            </w:r>
          </w:p>
        </w:tc>
        <w:tc>
          <w:tcPr>
            <w:tcW w:type="dxa" w:w="1020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订单数</w:t>
            </w:r>
          </w:p>
        </w:tc>
        <w:tc>
          <w:tcPr>
            <w:tcW w:type="dxa" w:w="124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差评率</w:t>
            </w:r>
          </w:p>
        </w:tc>
        <w:tc>
          <w:tcPr>
            <w:tcW w:type="dxa" w:w="124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平均备货</w:t>
            </w:r>
          </w:p>
        </w:tc>
        <w:tc>
          <w:tcPr>
            <w:tcW w:type="dxa" w:w="124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154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处置方向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office_furniture</w:t>
            </w:r>
          </w:p>
        </w:tc>
        <w:tc>
          <w:tcPr>
            <w:tcW w:type="dxa" w:w="1020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1,267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22.51%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9.92 天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物流型</w:t>
            </w:r>
          </w:p>
        </w:tc>
        <w:tc>
          <w:tcPr>
            <w:tcW w:type="dxa" w:w="215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大件品类设独立承诺标准</w:t>
            </w:r>
          </w:p>
        </w:tc>
      </w:tr>
      <w:tr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audio</w:t>
            </w:r>
          </w:p>
        </w:tc>
        <w:tc>
          <w:tcPr>
            <w:tcW w:type="dxa" w:w="1020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347</w:t>
            </w:r>
          </w:p>
        </w:tc>
        <w:tc>
          <w:tcPr>
            <w:tcW w:type="dxa" w:w="1247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21.51%</w:t>
            </w:r>
          </w:p>
        </w:tc>
        <w:tc>
          <w:tcPr>
            <w:tcW w:type="dxa" w:w="1247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2.51 天</w:t>
            </w:r>
          </w:p>
        </w:tc>
        <w:tc>
          <w:tcPr>
            <w:tcW w:type="dxa" w:w="1247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★ 商品型</w:t>
            </w:r>
          </w:p>
        </w:tc>
        <w:tc>
          <w:tcPr>
            <w:tcW w:type="dxa" w:w="2154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查商品描述、质检、包装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fixed_telephony</w:t>
            </w:r>
          </w:p>
        </w:tc>
        <w:tc>
          <w:tcPr>
            <w:tcW w:type="dxa" w:w="1020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215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18.87%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3.41 天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商品型</w:t>
            </w:r>
          </w:p>
        </w:tc>
        <w:tc>
          <w:tcPr>
            <w:tcW w:type="dxa" w:w="215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同上</w:t>
            </w:r>
          </w:p>
        </w:tc>
      </w:tr>
      <w:tr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home_confort</w:t>
            </w:r>
          </w:p>
        </w:tc>
        <w:tc>
          <w:tcPr>
            <w:tcW w:type="dxa" w:w="1020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388</w:t>
            </w:r>
          </w:p>
        </w:tc>
        <w:tc>
          <w:tcPr>
            <w:tcW w:type="dxa" w:w="1247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18.65%</w:t>
            </w:r>
          </w:p>
        </w:tc>
        <w:tc>
          <w:tcPr>
            <w:tcW w:type="dxa" w:w="1247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2.3 天</w:t>
            </w:r>
          </w:p>
        </w:tc>
        <w:tc>
          <w:tcPr>
            <w:tcW w:type="dxa" w:w="1247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商品型</w:t>
            </w:r>
          </w:p>
        </w:tc>
        <w:tc>
          <w:tcPr>
            <w:tcW w:type="dxa" w:w="2154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同上</w:t>
            </w:r>
          </w:p>
        </w:tc>
      </w:tr>
      <w:tr>
        <w:tc>
          <w:tcPr>
            <w:tcW w:type="dxa" w:w="226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bed_bath_table</w:t>
            </w:r>
          </w:p>
        </w:tc>
        <w:tc>
          <w:tcPr>
            <w:tcW w:type="dxa" w:w="1020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9,297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16.32%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2.71 天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混合</w:t>
            </w:r>
          </w:p>
        </w:tc>
        <w:tc>
          <w:tcPr>
            <w:tcW w:type="dxa" w:w="215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需进一步拆分</w:t>
            </w:r>
          </w:p>
        </w:tc>
      </w:tr>
    </w:tbl>
    <w:p>
      <w:pPr>
        <w:spacing w:after="20"/>
      </w:pPr>
    </w:p>
    <w:tbl>
      <w:tblPr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9184"/>
      </w:tblGrid>
      <w:tr>
        <w:tc>
          <w:tcPr>
            <w:tcW w:type="dxa" w:w="9184"/>
            <w:shd w:val="clear" w:color="auto" w:fill="FFF8E1"/>
            <w:tcBorders>
              <w:top w:val="single" w:sz="4" w:color="E8A33D"/>
              <w:left w:val="single" w:sz="20" w:color="E8A33D"/>
              <w:bottom w:val="single" w:sz="4" w:color="E8A33D"/>
              <w:right w:val="single" w:sz="4" w:color="E8A33D"/>
            </w:tcBorders>
          </w:tcPr>
          <w:p>
            <w:pPr>
              <w:spacing w:before="60" w:after="40"/>
            </w:pPr>
            <w:r/>
            <w:r>
              <w:rPr>
                <w:rFonts w:ascii="微软雅黑" w:hAnsi="微软雅黑" w:eastAsia="微软雅黑"/>
                <w:b/>
                <w:color w:val="8A5A00"/>
                <w:sz w:val="22"/>
              </w:rPr>
              <w:t>这条洞察比「差评率排行」有价值得多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office_furniture 高差评可以用备货慢解释（9.92 天，全国均值 2.81 的 3.5 倍）——改物流有效。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但 audio 差评率 21.51%，备货只有 2.51 天（比均值还快），说明差评来自商品本身——描述不符、质量问题、到手损坏，靠改物流完全无效。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同样是"高差评品类"，根因不同，处置方式完全不同。</w:t>
            </w:r>
          </w:p>
        </w:tc>
      </w:tr>
    </w:tbl>
    <w:p>
      <w:pPr>
        <w:spacing w:after="20"/>
      </w:pP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2.6  </w:t>
      </w:r>
      <w:r>
        <w:rPr>
          <w:rFonts w:ascii="微软雅黑" w:hAnsi="微软雅黑" w:eastAsia="微软雅黑"/>
          <w:b/>
          <w:color w:val="2E5C8A"/>
          <w:sz w:val="29"/>
        </w:rPr>
        <w:t>五因素汇总对比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五因素对差评率的影响排序</w:t>
      </w:r>
    </w:p>
    <w:tbl>
      <w:tblPr>
        <w:tblStyle w:val="TableGrid"/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765"/>
        <w:gridCol w:w="2296"/>
        <w:gridCol w:w="2405"/>
        <w:gridCol w:w="2405"/>
        <w:gridCol w:w="1312"/>
      </w:tblGrid>
      <w:tr>
        <w:tc>
          <w:tcPr>
            <w:tcW w:type="dxa" w:w="765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2296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因素</w:t>
            </w:r>
          </w:p>
        </w:tc>
        <w:tc>
          <w:tcPr>
            <w:tcW w:type="dxa" w:w="2405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高分组差评率</w:t>
            </w:r>
          </w:p>
        </w:tc>
        <w:tc>
          <w:tcPr>
            <w:tcW w:type="dxa" w:w="2405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低分组差评率</w:t>
            </w:r>
          </w:p>
        </w:tc>
        <w:tc>
          <w:tcPr>
            <w:tcW w:type="dxa" w:w="1312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差距</w:t>
            </w:r>
          </w:p>
        </w:tc>
      </w:tr>
      <w:tr>
        <w:tc>
          <w:tcPr>
            <w:tcW w:type="dxa" w:w="76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296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是否迟到</w:t>
            </w:r>
          </w:p>
        </w:tc>
        <w:tc>
          <w:tcPr>
            <w:tcW w:type="dxa" w:w="2405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53.94%（迟到）</w:t>
            </w:r>
          </w:p>
        </w:tc>
        <w:tc>
          <w:tcPr>
            <w:tcW w:type="dxa" w:w="2405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9.18%（准时）</w:t>
            </w:r>
          </w:p>
        </w:tc>
        <w:tc>
          <w:tcPr>
            <w:tcW w:type="dxa" w:w="1312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+44.8 pp</w:t>
            </w:r>
          </w:p>
        </w:tc>
      </w:tr>
      <w:tr>
        <w:tc>
          <w:tcPr>
            <w:tcW w:type="dxa" w:w="765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296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运输时长</w:t>
            </w:r>
          </w:p>
        </w:tc>
        <w:tc>
          <w:tcPr>
            <w:tcW w:type="dxa" w:w="2405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48.01%（21天+）</w:t>
            </w:r>
          </w:p>
        </w:tc>
        <w:tc>
          <w:tcPr>
            <w:tcW w:type="dxa" w:w="2405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8.46%（3天内）</w:t>
            </w:r>
          </w:p>
        </w:tc>
        <w:tc>
          <w:tcPr>
            <w:tcW w:type="dxa" w:w="1312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+39.6 pp</w:t>
            </w:r>
          </w:p>
        </w:tc>
      </w:tr>
      <w:tr>
        <w:tc>
          <w:tcPr>
            <w:tcW w:type="dxa" w:w="76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2296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备货时长</w:t>
            </w:r>
          </w:p>
        </w:tc>
        <w:tc>
          <w:tcPr>
            <w:tcW w:type="dxa" w:w="2405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41.56%（14天+）</w:t>
            </w:r>
          </w:p>
        </w:tc>
        <w:tc>
          <w:tcPr>
            <w:tcW w:type="dxa" w:w="2405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9.84%（1天内）</w:t>
            </w:r>
          </w:p>
        </w:tc>
        <w:tc>
          <w:tcPr>
            <w:tcW w:type="dxa" w:w="1312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+31.7 pp</w:t>
            </w:r>
          </w:p>
        </w:tc>
      </w:tr>
      <w:tr>
        <w:tc>
          <w:tcPr>
            <w:tcW w:type="dxa" w:w="765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296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超期发货</w:t>
            </w:r>
          </w:p>
        </w:tc>
        <w:tc>
          <w:tcPr>
            <w:tcW w:type="dxa" w:w="2405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23.69%（超期）</w:t>
            </w:r>
          </w:p>
        </w:tc>
        <w:tc>
          <w:tcPr>
            <w:tcW w:type="dxa" w:w="2405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11.68%（按期）</w:t>
            </w:r>
          </w:p>
        </w:tc>
        <w:tc>
          <w:tcPr>
            <w:tcW w:type="dxa" w:w="1312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+12.0 pp</w:t>
            </w:r>
          </w:p>
        </w:tc>
      </w:tr>
      <w:tr>
        <w:tc>
          <w:tcPr>
            <w:tcW w:type="dxa" w:w="765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2296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是否跨州</w:t>
            </w:r>
          </w:p>
        </w:tc>
        <w:tc>
          <w:tcPr>
            <w:tcW w:type="dxa" w:w="2405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14.07%（跨州）</w:t>
            </w:r>
          </w:p>
        </w:tc>
        <w:tc>
          <w:tcPr>
            <w:tcW w:type="dxa" w:w="2405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10.43%（同州）</w:t>
            </w:r>
          </w:p>
        </w:tc>
        <w:tc>
          <w:tcPr>
            <w:tcW w:type="dxa" w:w="1312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+3.6 pp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400" w:after="240"/>
        <w:pBdr>
          <w:bottom w:val="single" w:sz="10" w:color="1E3A5F"/>
        </w:pBdr>
      </w:pPr>
      <w:r>
        <w:rPr>
          <w:rFonts w:ascii="微软雅黑" w:hAnsi="微软雅黑" w:eastAsia="微软雅黑"/>
          <w:b/>
          <w:color w:val="1E3A5F"/>
          <w:sz w:val="36"/>
        </w:rPr>
        <w:t xml:space="preserve">第三章  </w:t>
      </w:r>
      <w:r>
        <w:rPr>
          <w:rFonts w:ascii="微软雅黑" w:hAnsi="微软雅黑" w:eastAsia="微软雅黑"/>
          <w:b/>
          <w:color w:val="1E3A5F"/>
          <w:sz w:val="36"/>
        </w:rPr>
        <w:t>统计与建模验证</w:t>
      </w:r>
    </w:p>
    <w:p>
      <w:pPr>
        <w:spacing w:before="0" w:after="120"/>
        <w:ind w:firstLine="454"/>
      </w:pPr>
      <w:r>
        <w:rPr>
          <w:rFonts w:ascii="宋体" w:hAnsi="宋体" w:eastAsia="宋体"/>
          <w:b w:val="0"/>
          <w:i w:val="0"/>
          <w:sz w:val="23"/>
        </w:rPr>
        <w:t>第二章的结论全部经过统计检验和多元建模验证。本章说明验证过程与两处颠覆性发现。</w:t>
      </w: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3.1  </w:t>
      </w:r>
      <w:r>
        <w:rPr>
          <w:rFonts w:ascii="微软雅黑" w:hAnsi="微软雅黑" w:eastAsia="微软雅黑"/>
          <w:b/>
          <w:color w:val="2E5C8A"/>
          <w:sz w:val="29"/>
        </w:rPr>
        <w:t>相关分析：Pearson 与 Spearman</w:t>
      </w:r>
    </w:p>
    <w:p>
      <w:pPr>
        <w:spacing w:before="0" w:after="120"/>
        <w:ind w:firstLine="454"/>
      </w:pPr>
      <w:r>
        <w:rPr>
          <w:rFonts w:ascii="宋体" w:hAnsi="宋体" w:eastAsia="宋体"/>
          <w:b w:val="0"/>
          <w:i w:val="0"/>
          <w:sz w:val="23"/>
        </w:rPr>
        <w:t>同时计算两种相关系数：Pearson 衡量线性关系，Spearman 衡量单调关系。本数据多个变量偏度绝对值大于 1（审核时长 4.48、运费 12.90），分布明显右偏，此时 Pearson 会失效，必须对照 Spearman。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52594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相关系数热力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25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微软雅黑" w:hAnsi="微软雅黑" w:eastAsia="微软雅黑"/>
          <w:color w:val="6B7280"/>
          <w:sz w:val="19"/>
        </w:rPr>
        <w:t>图 3-1  相关系数热力图（左：Pearson 线性；右：Spearman 单调）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各因素与「评分」的相关系数（n = 93,526）</w:t>
      </w:r>
    </w:p>
    <w:tbl>
      <w:tblPr>
        <w:tblStyle w:val="TableGrid"/>
        <w:jc w:val="center"/>
        <w:tblLook w:firstColumn="1" w:firstRow="1" w:lastColumn="0" w:lastRow="0" w:noHBand="0" w:noVBand="1" w:val="04A0"/>
        <w:tblW w:w="8277" w:type="dxa"/>
        <w:tblLayout w:type="fixed"/>
      </w:tblPr>
      <w:tblGrid>
        <w:gridCol w:w="2494"/>
        <w:gridCol w:w="1814"/>
        <w:gridCol w:w="1814"/>
        <w:gridCol w:w="2154"/>
      </w:tblGrid>
      <w:tr>
        <w:tc>
          <w:tcPr>
            <w:tcW w:type="dxa" w:w="2494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因素</w:t>
            </w:r>
          </w:p>
        </w:tc>
        <w:tc>
          <w:tcPr>
            <w:tcW w:type="dxa" w:w="1814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Pearson r</w:t>
            </w:r>
          </w:p>
        </w:tc>
        <w:tc>
          <w:tcPr>
            <w:tcW w:type="dxa" w:w="1814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Spearman ρ</w:t>
            </w:r>
          </w:p>
        </w:tc>
        <w:tc>
          <w:tcPr>
            <w:tcW w:type="dxa" w:w="2154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强度判断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是否迟到</w:t>
            </w:r>
          </w:p>
        </w:tc>
        <w:tc>
          <w:tcPr>
            <w:tcW w:type="dxa" w:w="181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−0.3514</w:t>
            </w:r>
          </w:p>
        </w:tc>
        <w:tc>
          <w:tcPr>
            <w:tcW w:type="dxa" w:w="181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−0.2823</w:t>
            </w:r>
          </w:p>
        </w:tc>
        <w:tc>
          <w:tcPr>
            <w:tcW w:type="dxa" w:w="215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强负相关</w:t>
            </w:r>
          </w:p>
        </w:tc>
      </w:tr>
      <w:tr>
        <w:tc>
          <w:tcPr>
            <w:tcW w:type="dxa" w:w="2494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全程时长</w:t>
            </w:r>
          </w:p>
        </w:tc>
        <w:tc>
          <w:tcPr>
            <w:tcW w:type="dxa" w:w="181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−0.3351</w:t>
            </w:r>
          </w:p>
        </w:tc>
        <w:tc>
          <w:tcPr>
            <w:tcW w:type="dxa" w:w="181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−0.2266</w:t>
            </w:r>
          </w:p>
        </w:tc>
        <w:tc>
          <w:tcPr>
            <w:tcW w:type="dxa" w:w="2154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强负相关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运输时长</w:t>
            </w:r>
          </w:p>
        </w:tc>
        <w:tc>
          <w:tcPr>
            <w:tcW w:type="dxa" w:w="181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−0.3015</w:t>
            </w:r>
          </w:p>
        </w:tc>
        <w:tc>
          <w:tcPr>
            <w:tcW w:type="dxa" w:w="181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−0.1877</w:t>
            </w:r>
          </w:p>
        </w:tc>
        <w:tc>
          <w:tcPr>
            <w:tcW w:type="dxa" w:w="215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中等负相关</w:t>
            </w:r>
          </w:p>
        </w:tc>
      </w:tr>
      <w:tr>
        <w:tc>
          <w:tcPr>
            <w:tcW w:type="dxa" w:w="2494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预估富余</w:t>
            </w:r>
          </w:p>
        </w:tc>
        <w:tc>
          <w:tcPr>
            <w:tcW w:type="dxa" w:w="181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+0.2559</w:t>
            </w:r>
          </w:p>
        </w:tc>
        <w:tc>
          <w:tcPr>
            <w:tcW w:type="dxa" w:w="181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+0.1684</w:t>
            </w:r>
          </w:p>
        </w:tc>
        <w:tc>
          <w:tcPr>
            <w:tcW w:type="dxa" w:w="2154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中等正相关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备货时长</w:t>
            </w:r>
          </w:p>
        </w:tc>
        <w:tc>
          <w:tcPr>
            <w:tcW w:type="dxa" w:w="181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−0.1515</w:t>
            </w:r>
          </w:p>
        </w:tc>
        <w:tc>
          <w:tcPr>
            <w:tcW w:type="dxa" w:w="181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−0.1004</w:t>
            </w:r>
          </w:p>
        </w:tc>
        <w:tc>
          <w:tcPr>
            <w:tcW w:type="dxa" w:w="215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弱负相关</w:t>
            </w:r>
          </w:p>
        </w:tc>
      </w:tr>
      <w:tr>
        <w:tc>
          <w:tcPr>
            <w:tcW w:type="dxa" w:w="2494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卖家超期发货</w:t>
            </w:r>
          </w:p>
        </w:tc>
        <w:tc>
          <w:tcPr>
            <w:tcW w:type="dxa" w:w="181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−0.1058</w:t>
            </w:r>
          </w:p>
        </w:tc>
        <w:tc>
          <w:tcPr>
            <w:tcW w:type="dxa" w:w="181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−0.0924</w:t>
            </w:r>
          </w:p>
        </w:tc>
        <w:tc>
          <w:tcPr>
            <w:tcW w:type="dxa" w:w="2154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弱负相关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是否跨州</w:t>
            </w:r>
          </w:p>
        </w:tc>
        <w:tc>
          <w:tcPr>
            <w:tcW w:type="dxa" w:w="181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−0.0580</w:t>
            </w:r>
          </w:p>
        </w:tc>
        <w:tc>
          <w:tcPr>
            <w:tcW w:type="dxa" w:w="181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−0.0557</w:t>
            </w:r>
          </w:p>
        </w:tc>
        <w:tc>
          <w:tcPr>
            <w:tcW w:type="dxa" w:w="215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极弱</w:t>
            </w:r>
          </w:p>
        </w:tc>
      </w:tr>
    </w:tbl>
    <w:p>
      <w:pPr>
        <w:spacing w:after="2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040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各因素相关强度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04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微软雅黑" w:hAnsi="微软雅黑" w:eastAsia="微软雅黑"/>
          <w:color w:val="6B7280"/>
          <w:sz w:val="19"/>
        </w:rPr>
        <w:t>图 3-2  各因素与「评分」/「是否差评」的相关强度对比</w:t>
      </w: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3.2  </w:t>
      </w:r>
      <w:r>
        <w:rPr>
          <w:rFonts w:ascii="微软雅黑" w:hAnsi="微软雅黑" w:eastAsia="微软雅黑"/>
          <w:b/>
          <w:color w:val="2E5C8A"/>
          <w:sz w:val="29"/>
        </w:rPr>
        <w:t>效应量：p 值之外的另一半</w:t>
      </w:r>
    </w:p>
    <w:p>
      <w:pPr>
        <w:spacing w:before="0" w:after="120"/>
        <w:ind w:firstLine="454"/>
      </w:pPr>
      <w:r>
        <w:rPr>
          <w:rFonts w:ascii="宋体" w:hAnsi="宋体" w:eastAsia="宋体"/>
          <w:b w:val="0"/>
          <w:i w:val="0"/>
          <w:sz w:val="23"/>
        </w:rPr>
        <w:t>p 值只回答"有没有差异"，效应量回答"差异有多大"。本项目样本达 9.3 万，几乎所有 p 值都趋近于 0，因此必须同时报告效应量。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组间差异的效应量</w:t>
      </w:r>
    </w:p>
    <w:tbl>
      <w:tblPr>
        <w:tblStyle w:val="TableGrid"/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2040"/>
        <w:gridCol w:w="1474"/>
        <w:gridCol w:w="1814"/>
        <w:gridCol w:w="3855"/>
      </w:tblGrid>
      <w:tr>
        <w:tc>
          <w:tcPr>
            <w:tcW w:type="dxa" w:w="2041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分组变量</w:t>
            </w:r>
          </w:p>
        </w:tc>
        <w:tc>
          <w:tcPr>
            <w:tcW w:type="dxa" w:w="1474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Cohen's d</w:t>
            </w:r>
          </w:p>
        </w:tc>
        <w:tc>
          <w:tcPr>
            <w:tcW w:type="dxa" w:w="1814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判读</w:t>
            </w:r>
          </w:p>
        </w:tc>
        <w:tc>
          <w:tcPr>
            <w:tcW w:type="dxa" w:w="3855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是否迟到</w:t>
            </w:r>
          </w:p>
        </w:tc>
        <w:tc>
          <w:tcPr>
            <w:tcW w:type="dxa" w:w="147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−1.41</w:t>
            </w:r>
          </w:p>
        </w:tc>
        <w:tc>
          <w:tcPr>
            <w:tcW w:type="dxa" w:w="181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★ 极大效应</w:t>
            </w:r>
          </w:p>
        </w:tc>
        <w:tc>
          <w:tcPr>
            <w:tcW w:type="dxa" w:w="385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迟到组评分分布整体左移 1.41 个标准差</w:t>
            </w:r>
          </w:p>
        </w:tc>
      </w:tr>
      <w:tr>
        <w:tc>
          <w:tcPr>
            <w:tcW w:type="dxa" w:w="2041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卖家超期发货</w:t>
            </w:r>
          </w:p>
        </w:tc>
        <w:tc>
          <w:tcPr>
            <w:tcW w:type="dxa" w:w="147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−0.37</w:t>
            </w:r>
          </w:p>
        </w:tc>
        <w:tc>
          <w:tcPr>
            <w:tcW w:type="dxa" w:w="1814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小-中效应</w:t>
            </w:r>
          </w:p>
        </w:tc>
        <w:tc>
          <w:tcPr>
            <w:tcW w:type="dxa" w:w="3855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单因素看有影响，但多因素下消失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是否跨州</w:t>
            </w:r>
          </w:p>
        </w:tc>
        <w:tc>
          <w:tcPr>
            <w:tcW w:type="dxa" w:w="147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−0.12</w:t>
            </w:r>
          </w:p>
        </w:tc>
        <w:tc>
          <w:tcPr>
            <w:tcW w:type="dxa" w:w="181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可忽略</w:t>
            </w:r>
          </w:p>
        </w:tc>
        <w:tc>
          <w:tcPr>
            <w:tcW w:type="dxa" w:w="385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远低于 0.2 的"小效应"门槛</w:t>
            </w:r>
          </w:p>
        </w:tc>
      </w:tr>
    </w:tbl>
    <w:p>
      <w:pPr>
        <w:spacing w:after="2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23038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组间对比箱线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0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微软雅黑" w:hAnsi="微软雅黑" w:eastAsia="微软雅黑"/>
          <w:color w:val="6B7280"/>
          <w:sz w:val="19"/>
        </w:rPr>
        <w:t>图 3-3  迟到 / 超期发货两组的评分箱线图（标题标注 Cohen's d）</w:t>
      </w:r>
    </w:p>
    <w:tbl>
      <w:tblPr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9184"/>
      </w:tblGrid>
      <w:tr>
        <w:tc>
          <w:tcPr>
            <w:tcW w:type="dxa" w:w="9184"/>
            <w:shd w:val="clear" w:color="auto" w:fill="FFF8E1"/>
            <w:tcBorders>
              <w:top w:val="single" w:sz="4" w:color="E8A33D"/>
              <w:left w:val="single" w:sz="20" w:color="E8A33D"/>
              <w:bottom w:val="single" w:sz="4" w:color="E8A33D"/>
              <w:right w:val="single" w:sz="4" w:color="E8A33D"/>
            </w:tcBorders>
          </w:tcPr>
          <w:p>
            <w:pPr>
              <w:spacing w:before="60" w:after="40"/>
            </w:pPr>
            <w:r/>
            <w:r>
              <w:rPr>
                <w:rFonts w:ascii="微软雅黑" w:hAnsi="微软雅黑" w:eastAsia="微软雅黑"/>
                <w:b/>
                <w:color w:val="8A5A00"/>
                <w:sz w:val="22"/>
              </w:rPr>
              <w:t>大样本陷阱（容易被追问）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样本量越大，p 值越容易变小。本项目几乎所有 p 值都 &lt; 1e-300，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连相关系数只有 0.02 的变量都"显著"。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所以不能只看 p 值，必须同时看效应大小。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例如"是否跨州"的 p 值也 &lt; 0.001，但 d 只有 −0.12，实际可忽略。</w:t>
            </w:r>
          </w:p>
        </w:tc>
      </w:tr>
    </w:tbl>
    <w:p>
      <w:pPr>
        <w:spacing w:after="20"/>
      </w:pP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3.3  </w:t>
      </w:r>
      <w:r>
        <w:rPr>
          <w:rFonts w:ascii="微软雅黑" w:hAnsi="微软雅黑" w:eastAsia="微软雅黑"/>
          <w:b/>
          <w:color w:val="2E5C8A"/>
          <w:sz w:val="29"/>
        </w:rPr>
        <w:t>多元线性回归（OLS）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OLS 模型整体拟合情况</w:t>
      </w:r>
    </w:p>
    <w:tbl>
      <w:tblPr>
        <w:tblStyle w:val="TableGrid"/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2040"/>
        <w:gridCol w:w="1814"/>
        <w:gridCol w:w="5329"/>
      </w:tblGrid>
      <w:tr>
        <w:tc>
          <w:tcPr>
            <w:tcW w:type="dxa" w:w="2041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整体指标</w:t>
            </w:r>
          </w:p>
        </w:tc>
        <w:tc>
          <w:tcPr>
            <w:tcW w:type="dxa" w:w="1814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  <w:tc>
          <w:tcPr>
            <w:tcW w:type="dxa" w:w="5329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样本量 N</w:t>
            </w:r>
          </w:p>
        </w:tc>
        <w:tc>
          <w:tcPr>
            <w:tcW w:type="dxa" w:w="181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93,047</w:t>
            </w:r>
          </w:p>
        </w:tc>
        <w:tc>
          <w:tcPr>
            <w:tcW w:type="dxa" w:w="53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  <w:tr>
        <w:tc>
          <w:tcPr>
            <w:tcW w:type="dxa" w:w="2041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R²</w:t>
            </w:r>
          </w:p>
        </w:tc>
        <w:tc>
          <w:tcPr>
            <w:tcW w:type="dxa" w:w="181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0.1695</w:t>
            </w:r>
          </w:p>
        </w:tc>
        <w:tc>
          <w:tcPr>
            <w:tcW w:type="dxa" w:w="5329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模型解释了 16.95% 的评分方差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调整 R²</w:t>
            </w:r>
          </w:p>
        </w:tc>
        <w:tc>
          <w:tcPr>
            <w:tcW w:type="dxa" w:w="181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0.1694</w:t>
            </w:r>
          </w:p>
        </w:tc>
        <w:tc>
          <w:tcPr>
            <w:tcW w:type="dxa" w:w="53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几乎无衰减，无过拟合</w:t>
            </w:r>
          </w:p>
        </w:tc>
      </w:tr>
      <w:tr>
        <w:tc>
          <w:tcPr>
            <w:tcW w:type="dxa" w:w="2041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F 统计量</w:t>
            </w:r>
          </w:p>
        </w:tc>
        <w:tc>
          <w:tcPr>
            <w:tcW w:type="dxa" w:w="181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1,898.8</w:t>
            </w:r>
          </w:p>
        </w:tc>
        <w:tc>
          <w:tcPr>
            <w:tcW w:type="dxa" w:w="5329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整体模型高度显著</w:t>
            </w:r>
          </w:p>
        </w:tc>
      </w:tr>
      <w:tr>
        <w:tc>
          <w:tcPr>
            <w:tcW w:type="dxa" w:w="204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VIF</w:t>
            </w:r>
          </w:p>
        </w:tc>
        <w:tc>
          <w:tcPr>
            <w:tcW w:type="dxa" w:w="181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全部 &lt; 3</w:t>
            </w:r>
          </w:p>
        </w:tc>
        <w:tc>
          <w:tcPr>
            <w:tcW w:type="dxa" w:w="532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无多重共线性问题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OLS 标准化系数（因变量：评分）</w:t>
      </w:r>
    </w:p>
    <w:tbl>
      <w:tblPr>
        <w:tblStyle w:val="TableGrid"/>
        <w:jc w:val="center"/>
        <w:tblLook w:firstColumn="1" w:firstRow="1" w:lastColumn="0" w:lastRow="0" w:noHBand="0" w:noVBand="1" w:val="04A0"/>
        <w:tblW w:w="8277" w:type="dxa"/>
        <w:tblLayout w:type="fixed"/>
      </w:tblPr>
      <w:tblGrid>
        <w:gridCol w:w="680"/>
        <w:gridCol w:w="2267"/>
        <w:gridCol w:w="1474"/>
        <w:gridCol w:w="1133"/>
        <w:gridCol w:w="1474"/>
        <w:gridCol w:w="1247"/>
      </w:tblGrid>
      <w:tr>
        <w:tc>
          <w:tcPr>
            <w:tcW w:type="dxa" w:w="680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type="dxa" w:w="2268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变量</w:t>
            </w:r>
          </w:p>
        </w:tc>
        <w:tc>
          <w:tcPr>
            <w:tcW w:type="dxa" w:w="1474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标准化 β</w:t>
            </w:r>
          </w:p>
        </w:tc>
        <w:tc>
          <w:tcPr>
            <w:tcW w:type="dxa" w:w="1134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t 值</w:t>
            </w:r>
          </w:p>
        </w:tc>
        <w:tc>
          <w:tcPr>
            <w:tcW w:type="dxa" w:w="1474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 值</w:t>
            </w:r>
          </w:p>
        </w:tc>
        <w:tc>
          <w:tcPr>
            <w:tcW w:type="dxa" w:w="124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显著性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1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是否迟到</w:t>
            </w:r>
          </w:p>
        </w:tc>
        <w:tc>
          <w:tcPr>
            <w:tcW w:type="dxa" w:w="147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−0.2771</w:t>
            </w:r>
          </w:p>
        </w:tc>
        <w:tc>
          <w:tcPr>
            <w:tcW w:type="dxa" w:w="113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−56.0</w:t>
            </w:r>
          </w:p>
        </w:tc>
        <w:tc>
          <w:tcPr>
            <w:tcW w:type="dxa" w:w="147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&lt;1e-300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***</w:t>
            </w:r>
          </w:p>
        </w:tc>
      </w:tr>
      <w:tr>
        <w:tc>
          <w:tcPr>
            <w:tcW w:type="dxa" w:w="680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2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运输时长(天)</w:t>
            </w:r>
          </w:p>
        </w:tc>
        <w:tc>
          <w:tcPr>
            <w:tcW w:type="dxa" w:w="147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−0.2749</w:t>
            </w:r>
          </w:p>
        </w:tc>
        <w:tc>
          <w:tcPr>
            <w:tcW w:type="dxa" w:w="113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−49.1</w:t>
            </w:r>
          </w:p>
        </w:tc>
        <w:tc>
          <w:tcPr>
            <w:tcW w:type="dxa" w:w="147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&lt;1e-300</w:t>
            </w:r>
          </w:p>
        </w:tc>
        <w:tc>
          <w:tcPr>
            <w:tcW w:type="dxa" w:w="1247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***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商品件数</w:t>
            </w:r>
          </w:p>
        </w:tc>
        <w:tc>
          <w:tcPr>
            <w:tcW w:type="dxa" w:w="147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−0.1642</w:t>
            </w:r>
          </w:p>
        </w:tc>
        <w:tc>
          <w:tcPr>
            <w:tcW w:type="dxa" w:w="113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−40.4</w:t>
            </w:r>
          </w:p>
        </w:tc>
        <w:tc>
          <w:tcPr>
            <w:tcW w:type="dxa" w:w="147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&lt;1e-300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***</w:t>
            </w:r>
          </w:p>
        </w:tc>
      </w:tr>
      <w:tr>
        <w:tc>
          <w:tcPr>
            <w:tcW w:type="dxa" w:w="680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备货时长(天)</w:t>
            </w:r>
          </w:p>
        </w:tc>
        <w:tc>
          <w:tcPr>
            <w:tcW w:type="dxa" w:w="147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−0.1310</w:t>
            </w:r>
          </w:p>
        </w:tc>
        <w:tc>
          <w:tcPr>
            <w:tcW w:type="dxa" w:w="113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−27.2</w:t>
            </w:r>
          </w:p>
        </w:tc>
        <w:tc>
          <w:tcPr>
            <w:tcW w:type="dxa" w:w="147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&lt;1e-300</w:t>
            </w:r>
          </w:p>
        </w:tc>
        <w:tc>
          <w:tcPr>
            <w:tcW w:type="dxa" w:w="1247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***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距离(对数km)</w:t>
            </w:r>
          </w:p>
        </w:tc>
        <w:tc>
          <w:tcPr>
            <w:tcW w:type="dxa" w:w="147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+0.0636</w:t>
            </w:r>
          </w:p>
        </w:tc>
        <w:tc>
          <w:tcPr>
            <w:tcW w:type="dxa" w:w="113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10.5</w:t>
            </w:r>
          </w:p>
        </w:tc>
        <w:tc>
          <w:tcPr>
            <w:tcW w:type="dxa" w:w="147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&lt;1e-300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***</w:t>
            </w:r>
          </w:p>
        </w:tc>
      </w:tr>
      <w:tr>
        <w:tc>
          <w:tcPr>
            <w:tcW w:type="dxa" w:w="680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6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是否跨州</w:t>
            </w:r>
          </w:p>
        </w:tc>
        <w:tc>
          <w:tcPr>
            <w:tcW w:type="dxa" w:w="147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+0.0151</w:t>
            </w:r>
          </w:p>
        </w:tc>
        <w:tc>
          <w:tcPr>
            <w:tcW w:type="dxa" w:w="113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2.6</w:t>
            </w:r>
          </w:p>
        </w:tc>
        <w:tc>
          <w:tcPr>
            <w:tcW w:type="dxa" w:w="147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0.0088</w:t>
            </w:r>
          </w:p>
        </w:tc>
        <w:tc>
          <w:tcPr>
            <w:tcW w:type="dxa" w:w="1247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**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7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重量(对数g)</w:t>
            </w:r>
          </w:p>
        </w:tc>
        <w:tc>
          <w:tcPr>
            <w:tcW w:type="dxa" w:w="147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+0.0123</w:t>
            </w:r>
          </w:p>
        </w:tc>
        <w:tc>
          <w:tcPr>
            <w:tcW w:type="dxa" w:w="113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2.7</w:t>
            </w:r>
          </w:p>
        </w:tc>
        <w:tc>
          <w:tcPr>
            <w:tcW w:type="dxa" w:w="147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0.0063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**</w:t>
            </w:r>
          </w:p>
        </w:tc>
      </w:tr>
      <w:tr>
        <w:tc>
          <w:tcPr>
            <w:tcW w:type="dxa" w:w="680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8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金额(对数)</w:t>
            </w:r>
          </w:p>
        </w:tc>
        <w:tc>
          <w:tcPr>
            <w:tcW w:type="dxa" w:w="147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−0.0063</w:t>
            </w:r>
          </w:p>
        </w:tc>
        <w:tc>
          <w:tcPr>
            <w:tcW w:type="dxa" w:w="113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−1.0</w:t>
            </w:r>
          </w:p>
        </w:tc>
        <w:tc>
          <w:tcPr>
            <w:tcW w:type="dxa" w:w="147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0.3042</w:t>
            </w:r>
          </w:p>
        </w:tc>
        <w:tc>
          <w:tcPr>
            <w:tcW w:type="dxa" w:w="1247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ns</w:t>
            </w:r>
          </w:p>
        </w:tc>
      </w:tr>
      <w:tr>
        <w:tc>
          <w:tcPr>
            <w:tcW w:type="dxa" w:w="68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9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运费占比</w:t>
            </w:r>
          </w:p>
        </w:tc>
        <w:tc>
          <w:tcPr>
            <w:tcW w:type="dxa" w:w="147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−0.0041</w:t>
            </w:r>
          </w:p>
        </w:tc>
        <w:tc>
          <w:tcPr>
            <w:tcW w:type="dxa" w:w="113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−0.7</w:t>
            </w:r>
          </w:p>
        </w:tc>
        <w:tc>
          <w:tcPr>
            <w:tcW w:type="dxa" w:w="147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0.4564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ns</w:t>
            </w:r>
          </w:p>
        </w:tc>
      </w:tr>
      <w:tr>
        <w:tc>
          <w:tcPr>
            <w:tcW w:type="dxa" w:w="680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10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卖家超期发货</w:t>
            </w:r>
          </w:p>
        </w:tc>
        <w:tc>
          <w:tcPr>
            <w:tcW w:type="dxa" w:w="147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−0.0002</w:t>
            </w:r>
          </w:p>
        </w:tc>
        <w:tc>
          <w:tcPr>
            <w:tcW w:type="dxa" w:w="113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−0.0</w:t>
            </w:r>
          </w:p>
        </w:tc>
        <w:tc>
          <w:tcPr>
            <w:tcW w:type="dxa" w:w="147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0.9730</w:t>
            </w:r>
          </w:p>
        </w:tc>
        <w:tc>
          <w:tcPr>
            <w:tcW w:type="dxa" w:w="1247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ns</w:t>
            </w:r>
          </w:p>
        </w:tc>
      </w:tr>
    </w:tbl>
    <w:p>
      <w:pPr>
        <w:spacing w:after="20"/>
      </w:pP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3.4  </w:t>
      </w:r>
      <w:r>
        <w:rPr>
          <w:rFonts w:ascii="微软雅黑" w:hAnsi="微软雅黑" w:eastAsia="微软雅黑"/>
          <w:b/>
          <w:color w:val="2E5C8A"/>
          <w:sz w:val="29"/>
        </w:rPr>
        <w:t>逻辑回归：优势比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Logit 模型整体情况</w:t>
      </w:r>
    </w:p>
    <w:tbl>
      <w:tblPr>
        <w:tblStyle w:val="TableGrid"/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3628"/>
        <w:gridCol w:w="5555"/>
      </w:tblGrid>
      <w:tr>
        <w:tc>
          <w:tcPr>
            <w:tcW w:type="dxa" w:w="3628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整体指标</w:t>
            </w:r>
          </w:p>
        </w:tc>
        <w:tc>
          <w:tcPr>
            <w:tcW w:type="dxa" w:w="5556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数值</w:t>
            </w:r>
          </w:p>
        </w:tc>
      </w:tr>
      <w:tr>
        <w:tc>
          <w:tcPr>
            <w:tcW w:type="dxa" w:w="362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McFadden 伪 R²</w:t>
            </w:r>
          </w:p>
        </w:tc>
        <w:tc>
          <w:tcPr>
            <w:tcW w:type="dxa" w:w="5556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0.1518</w:t>
            </w:r>
          </w:p>
        </w:tc>
      </w:tr>
      <w:tr>
        <w:tc>
          <w:tcPr>
            <w:tcW w:type="dxa" w:w="3628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LR 统计量</w:t>
            </w:r>
          </w:p>
        </w:tc>
        <w:tc>
          <w:tcPr>
            <w:tcW w:type="dxa" w:w="5556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10,629.7（df = 10，p &lt; 1e-300）</w:t>
            </w:r>
          </w:p>
        </w:tc>
      </w:tr>
      <w:tr>
        <w:tc>
          <w:tcPr>
            <w:tcW w:type="dxa" w:w="362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基准差评率</w:t>
            </w:r>
          </w:p>
        </w:tc>
        <w:tc>
          <w:tcPr>
            <w:tcW w:type="dxa" w:w="5556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12.47%</w:t>
            </w:r>
          </w:p>
        </w:tc>
      </w:tr>
    </w:tbl>
    <w:p>
      <w:pPr>
        <w:spacing w:after="20"/>
      </w:pP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Logit 优势比（每增加 1 个标准差，差评几率的变化倍数）</w:t>
      </w:r>
    </w:p>
    <w:tbl>
      <w:tblPr>
        <w:tblStyle w:val="TableGrid"/>
        <w:jc w:val="center"/>
        <w:tblLook w:firstColumn="1" w:firstRow="1" w:lastColumn="0" w:lastRow="0" w:noHBand="0" w:noVBand="1" w:val="04A0"/>
        <w:tblW w:w="7710" w:type="dxa"/>
        <w:tblLayout w:type="fixed"/>
      </w:tblPr>
      <w:tblGrid>
        <w:gridCol w:w="2381"/>
        <w:gridCol w:w="1247"/>
        <w:gridCol w:w="2607"/>
        <w:gridCol w:w="1474"/>
      </w:tblGrid>
      <w:tr>
        <w:tc>
          <w:tcPr>
            <w:tcW w:type="dxa" w:w="2381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变量</w:t>
            </w:r>
          </w:p>
        </w:tc>
        <w:tc>
          <w:tcPr>
            <w:tcW w:type="dxa" w:w="124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OR</w:t>
            </w:r>
          </w:p>
        </w:tc>
        <w:tc>
          <w:tcPr>
            <w:tcW w:type="dxa" w:w="2608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95% 置信区间</w:t>
            </w:r>
          </w:p>
        </w:tc>
        <w:tc>
          <w:tcPr>
            <w:tcW w:type="dxa" w:w="1474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 值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运输时长(天)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1.603</w:t>
            </w:r>
          </w:p>
        </w:tc>
        <w:tc>
          <w:tcPr>
            <w:tcW w:type="dxa" w:w="2608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[1.562, 1.646]</w:t>
            </w:r>
          </w:p>
        </w:tc>
        <w:tc>
          <w:tcPr>
            <w:tcW w:type="dxa" w:w="147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&lt;1e-300</w:t>
            </w:r>
          </w:p>
        </w:tc>
      </w:tr>
      <w:tr>
        <w:tc>
          <w:tcPr>
            <w:tcW w:type="dxa" w:w="2381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是否迟到</w:t>
            </w:r>
          </w:p>
        </w:tc>
        <w:tc>
          <w:tcPr>
            <w:tcW w:type="dxa" w:w="1247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1.457</w:t>
            </w:r>
          </w:p>
        </w:tc>
        <w:tc>
          <w:tcPr>
            <w:tcW w:type="dxa" w:w="2608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[1.428, 1.486]</w:t>
            </w:r>
          </w:p>
        </w:tc>
        <w:tc>
          <w:tcPr>
            <w:tcW w:type="dxa" w:w="147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&lt;1e-300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商品件数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1.351</w:t>
            </w:r>
          </w:p>
        </w:tc>
        <w:tc>
          <w:tcPr>
            <w:tcW w:type="dxa" w:w="2608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[1.327, 1.375]</w:t>
            </w:r>
          </w:p>
        </w:tc>
        <w:tc>
          <w:tcPr>
            <w:tcW w:type="dxa" w:w="147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&lt;1e-300</w:t>
            </w:r>
          </w:p>
        </w:tc>
      </w:tr>
      <w:tr>
        <w:tc>
          <w:tcPr>
            <w:tcW w:type="dxa" w:w="2381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备货时长(天)</w:t>
            </w:r>
          </w:p>
        </w:tc>
        <w:tc>
          <w:tcPr>
            <w:tcW w:type="dxa" w:w="1247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1.252</w:t>
            </w:r>
          </w:p>
        </w:tc>
        <w:tc>
          <w:tcPr>
            <w:tcW w:type="dxa" w:w="2608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[1.225, 1.280]</w:t>
            </w:r>
          </w:p>
        </w:tc>
        <w:tc>
          <w:tcPr>
            <w:tcW w:type="dxa" w:w="147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&lt;1e-300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距离(对数km)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0.848</w:t>
            </w:r>
          </w:p>
        </w:tc>
        <w:tc>
          <w:tcPr>
            <w:tcW w:type="dxa" w:w="2608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[0.820, 0.878]</w:t>
            </w:r>
          </w:p>
        </w:tc>
        <w:tc>
          <w:tcPr>
            <w:tcW w:type="dxa" w:w="147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&lt;1e-300</w:t>
            </w:r>
          </w:p>
        </w:tc>
      </w:tr>
      <w:tr>
        <w:tc>
          <w:tcPr>
            <w:tcW w:type="dxa" w:w="2381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金额(对数)</w:t>
            </w:r>
          </w:p>
        </w:tc>
        <w:tc>
          <w:tcPr>
            <w:tcW w:type="dxa" w:w="1247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1.089</w:t>
            </w:r>
          </w:p>
        </w:tc>
        <w:tc>
          <w:tcPr>
            <w:tcW w:type="dxa" w:w="2608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[1.054, 1.125]</w:t>
            </w:r>
          </w:p>
        </w:tc>
        <w:tc>
          <w:tcPr>
            <w:tcW w:type="dxa" w:w="147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2.81e−07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重量(对数g)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0.947</w:t>
            </w:r>
          </w:p>
        </w:tc>
        <w:tc>
          <w:tcPr>
            <w:tcW w:type="dxa" w:w="2608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[0.924, 0.971]</w:t>
            </w:r>
          </w:p>
        </w:tc>
        <w:tc>
          <w:tcPr>
            <w:tcW w:type="dxa" w:w="147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1.67e−05</w:t>
            </w:r>
          </w:p>
        </w:tc>
      </w:tr>
      <w:tr>
        <w:tc>
          <w:tcPr>
            <w:tcW w:type="dxa" w:w="2381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运费占比</w:t>
            </w:r>
          </w:p>
        </w:tc>
        <w:tc>
          <w:tcPr>
            <w:tcW w:type="dxa" w:w="1247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1.034</w:t>
            </w:r>
          </w:p>
        </w:tc>
        <w:tc>
          <w:tcPr>
            <w:tcW w:type="dxa" w:w="2608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[1.008, 1.062]</w:t>
            </w:r>
          </w:p>
        </w:tc>
        <w:tc>
          <w:tcPr>
            <w:tcW w:type="dxa" w:w="147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0.0108</w:t>
            </w:r>
          </w:p>
        </w:tc>
      </w:tr>
      <w:tr>
        <w:tc>
          <w:tcPr>
            <w:tcW w:type="dxa" w:w="238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卖家超期发货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1.013</w:t>
            </w:r>
          </w:p>
        </w:tc>
        <w:tc>
          <w:tcPr>
            <w:tcW w:type="dxa" w:w="2608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[0.990, 1.037]</w:t>
            </w:r>
          </w:p>
        </w:tc>
        <w:tc>
          <w:tcPr>
            <w:tcW w:type="dxa" w:w="147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0.2756</w:t>
            </w:r>
          </w:p>
        </w:tc>
      </w:tr>
      <w:tr>
        <w:tc>
          <w:tcPr>
            <w:tcW w:type="dxa" w:w="2381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是否跨州</w:t>
            </w:r>
          </w:p>
        </w:tc>
        <w:tc>
          <w:tcPr>
            <w:tcW w:type="dxa" w:w="1247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0.996</w:t>
            </w:r>
          </w:p>
        </w:tc>
        <w:tc>
          <w:tcPr>
            <w:tcW w:type="dxa" w:w="2608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[0.964, 1.030]</w:t>
            </w:r>
          </w:p>
        </w:tc>
        <w:tc>
          <w:tcPr>
            <w:tcW w:type="dxa" w:w="147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0.8237</w:t>
            </w:r>
          </w:p>
        </w:tc>
      </w:tr>
    </w:tbl>
    <w:p>
      <w:pPr>
        <w:spacing w:after="20"/>
      </w:pP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3.5  </w:t>
      </w:r>
      <w:r>
        <w:rPr>
          <w:rFonts w:ascii="微软雅黑" w:hAnsi="微软雅黑" w:eastAsia="微软雅黑"/>
          <w:b/>
          <w:color w:val="2E5C8A"/>
          <w:sz w:val="29"/>
        </w:rPr>
        <w:t>随机森林对照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随机森林特征重要性（5 折交叉验证 AUC = 0.744）</w:t>
      </w:r>
    </w:p>
    <w:tbl>
      <w:tblPr>
        <w:tblStyle w:val="TableGrid"/>
        <w:jc w:val="center"/>
        <w:tblLook w:firstColumn="1" w:firstRow="1" w:lastColumn="0" w:lastRow="0" w:noHBand="0" w:noVBand="1" w:val="04A0"/>
        <w:tblW w:w="7937" w:type="dxa"/>
        <w:tblLayout w:type="fixed"/>
      </w:tblPr>
      <w:tblGrid>
        <w:gridCol w:w="3401"/>
        <w:gridCol w:w="2267"/>
        <w:gridCol w:w="2267"/>
      </w:tblGrid>
      <w:tr>
        <w:tc>
          <w:tcPr>
            <w:tcW w:type="dxa" w:w="3402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变量</w:t>
            </w:r>
          </w:p>
        </w:tc>
        <w:tc>
          <w:tcPr>
            <w:tcW w:type="dxa" w:w="2268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重要性</w:t>
            </w:r>
          </w:p>
        </w:tc>
        <w:tc>
          <w:tcPr>
            <w:tcW w:type="dxa" w:w="2268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占比</w:t>
            </w:r>
          </w:p>
        </w:tc>
      </w:tr>
      <w:tr>
        <w:tc>
          <w:tcPr>
            <w:tcW w:type="dxa" w:w="34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是否迟到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0.3960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39.60%</w:t>
            </w:r>
          </w:p>
        </w:tc>
      </w:tr>
      <w:tr>
        <w:tc>
          <w:tcPr>
            <w:tcW w:type="dxa" w:w="3402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运输时长(天)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0.3033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30.33%</w:t>
            </w:r>
          </w:p>
        </w:tc>
      </w:tr>
      <w:tr>
        <w:tc>
          <w:tcPr>
            <w:tcW w:type="dxa" w:w="34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商品件数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0.1003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10.03%</w:t>
            </w:r>
          </w:p>
        </w:tc>
      </w:tr>
      <w:tr>
        <w:tc>
          <w:tcPr>
            <w:tcW w:type="dxa" w:w="3402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备货时长(天)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0.0710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7.10%</w:t>
            </w:r>
          </w:p>
        </w:tc>
      </w:tr>
      <w:tr>
        <w:tc>
          <w:tcPr>
            <w:tcW w:type="dxa" w:w="3402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距离(对数km)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0.0408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4.08%</w:t>
            </w:r>
          </w:p>
        </w:tc>
      </w:tr>
      <w:tr>
        <w:tc>
          <w:tcPr>
            <w:tcW w:type="dxa" w:w="3402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其余 5 个变量合计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0.0986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9.86%</w:t>
            </w:r>
          </w:p>
        </w:tc>
      </w:tr>
    </w:tbl>
    <w:p>
      <w:pPr>
        <w:spacing w:after="2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32000" cy="18956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多元模型系数对比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895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微软雅黑" w:hAnsi="微软雅黑" w:eastAsia="微软雅黑"/>
          <w:color w:val="6B7280"/>
          <w:sz w:val="19"/>
        </w:rPr>
        <w:t>图 3-4  三种方法的系数/重要性对比：结论高度一致</w:t>
      </w: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3.6  </w:t>
      </w:r>
      <w:r>
        <w:rPr>
          <w:rFonts w:ascii="微软雅黑" w:hAnsi="微软雅黑" w:eastAsia="微软雅黑"/>
          <w:b/>
          <w:color w:val="2E5C8A"/>
          <w:sz w:val="29"/>
        </w:rPr>
        <w:t>两处颠覆单因素结论的发现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374151"/>
          <w:sz w:val="25"/>
        </w:rPr>
        <w:t xml:space="preserve">3.6.1  </w:t>
      </w:r>
      <w:r>
        <w:rPr>
          <w:rFonts w:ascii="微软雅黑" w:hAnsi="微软雅黑" w:eastAsia="微软雅黑"/>
          <w:b/>
          <w:color w:val="374151"/>
          <w:sz w:val="25"/>
        </w:rPr>
        <w:t>发现一：超期发货的效应被「迟到」完全中介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超期发货在单因素与多因素下的对比</w:t>
      </w:r>
    </w:p>
    <w:tbl>
      <w:tblPr>
        <w:tblStyle w:val="TableGrid"/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2494"/>
        <w:gridCol w:w="3174"/>
        <w:gridCol w:w="3514"/>
      </w:tblGrid>
      <w:tr>
        <w:tc>
          <w:tcPr>
            <w:tcW w:type="dxa" w:w="2494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分析方式</w:t>
            </w:r>
          </w:p>
        </w:tc>
        <w:tc>
          <w:tcPr>
            <w:tcW w:type="dxa" w:w="3175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3515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单因素相关</w:t>
            </w:r>
          </w:p>
        </w:tc>
        <w:tc>
          <w:tcPr>
            <w:tcW w:type="dxa" w:w="317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r = −0.1058（p ≈ 0）</w:t>
            </w:r>
          </w:p>
        </w:tc>
        <w:tc>
          <w:tcPr>
            <w:tcW w:type="dxa" w:w="351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看似显著</w:t>
            </w:r>
          </w:p>
        </w:tc>
      </w:tr>
      <w:tr>
        <w:tc>
          <w:tcPr>
            <w:tcW w:type="dxa" w:w="2494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单因素分组</w:t>
            </w:r>
          </w:p>
        </w:tc>
        <w:tc>
          <w:tcPr>
            <w:tcW w:type="dxa" w:w="3175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评分 3.70 vs 4.20</w:t>
            </w:r>
          </w:p>
        </w:tc>
        <w:tc>
          <w:tcPr>
            <w:tcW w:type="dxa" w:w="3515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看起来影响很大</w:t>
            </w:r>
          </w:p>
        </w:tc>
      </w:tr>
      <w:tr>
        <w:tc>
          <w:tcPr>
            <w:tcW w:type="dxa" w:w="249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★ 多元回归（控制迟到）</w:t>
            </w:r>
          </w:p>
        </w:tc>
        <w:tc>
          <w:tcPr>
            <w:tcW w:type="dxa" w:w="317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β = −0.0002，p = 0.973</w:t>
            </w:r>
          </w:p>
        </w:tc>
        <w:tc>
          <w:tcPr>
            <w:tcW w:type="dxa" w:w="351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直接效应几乎为零</w:t>
            </w:r>
          </w:p>
        </w:tc>
      </w:tr>
      <w:tr>
        <w:tc>
          <w:tcPr>
            <w:tcW w:type="dxa" w:w="2494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★ Logit（控制迟到）</w:t>
            </w:r>
          </w:p>
        </w:tc>
        <w:tc>
          <w:tcPr>
            <w:tcW w:type="dxa" w:w="3175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OR = 1.013，p = 0.276</w:t>
            </w:r>
          </w:p>
        </w:tc>
        <w:tc>
          <w:tcPr>
            <w:tcW w:type="dxa" w:w="3515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优势比不显著</w:t>
            </w:r>
          </w:p>
        </w:tc>
      </w:tr>
    </w:tbl>
    <w:p>
      <w:pPr>
        <w:spacing w:after="20"/>
      </w:pPr>
    </w:p>
    <w:tbl>
      <w:tblPr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9184"/>
      </w:tblGrid>
      <w:tr>
        <w:tc>
          <w:tcPr>
            <w:tcW w:type="dxa" w:w="9184"/>
            <w:shd w:val="clear" w:color="auto" w:fill="FDECEA"/>
            <w:tcBorders>
              <w:top w:val="single" w:sz="4" w:color="C0392B"/>
              <w:left w:val="single" w:sz="20" w:color="C0392B"/>
              <w:bottom w:val="single" w:sz="4" w:color="C0392B"/>
              <w:right w:val="single" w:sz="4" w:color="C0392B"/>
            </w:tcBorders>
          </w:tcPr>
          <w:p>
            <w:pPr>
              <w:spacing w:before="60" w:after="40"/>
            </w:pPr>
            <w:r/>
            <w:r>
              <w:rPr>
                <w:rFonts w:ascii="微软雅黑" w:hAnsi="微软雅黑" w:eastAsia="微软雅黑"/>
                <w:b/>
                <w:color w:val="922B21"/>
                <w:sz w:val="22"/>
              </w:rPr>
              <w:t>因果路径：超期发货 → 迟到 → 差评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客户并不知道卖家有没有超期（那是平台内部指标），客户只感受得到"有没有按时收到"。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所以一旦控制住"是否迟到"，超期发货就失去了独立解释力。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业务含义：考核卖家发货时效仍有意义（它是上游原因），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但真正的 KPI 应该是"准时送达率"，而不是"按时发货率"。</w:t>
            </w:r>
          </w:p>
        </w:tc>
      </w:tr>
    </w:tbl>
    <w:p>
      <w:pPr>
        <w:spacing w:after="20"/>
      </w:pPr>
    </w:p>
    <w:p>
      <w:pPr>
        <w:spacing w:before="220" w:after="80"/>
      </w:pPr>
      <w:r>
        <w:rPr>
          <w:rFonts w:ascii="微软雅黑" w:hAnsi="微软雅黑" w:eastAsia="微软雅黑"/>
          <w:b/>
          <w:color w:val="374151"/>
          <w:sz w:val="25"/>
        </w:rPr>
        <w:t xml:space="preserve">3.6.2  </w:t>
      </w:r>
      <w:r>
        <w:rPr>
          <w:rFonts w:ascii="微软雅黑" w:hAnsi="微软雅黑" w:eastAsia="微软雅黑"/>
          <w:b/>
          <w:color w:val="374151"/>
          <w:sz w:val="25"/>
        </w:rPr>
        <w:t>发现二：距离的符号反转（抑制效应）</w:t>
      </w:r>
    </w:p>
    <w:p>
      <w:pPr>
        <w:spacing w:before="0" w:after="120"/>
        <w:ind w:firstLine="454"/>
      </w:pPr>
      <w:r>
        <w:rPr>
          <w:rFonts w:ascii="宋体" w:hAnsi="宋体" w:eastAsia="宋体"/>
          <w:b w:val="0"/>
          <w:i w:val="0"/>
          <w:sz w:val="23"/>
        </w:rPr>
        <w:t>见第二章 2.4 节。这是典型的抑制效应，也是"只看相关系数会出错"的最好例证。</w:t>
      </w: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3.7  </w:t>
      </w:r>
      <w:r>
        <w:rPr>
          <w:rFonts w:ascii="微软雅黑" w:hAnsi="微软雅黑" w:eastAsia="微软雅黑"/>
          <w:b/>
          <w:color w:val="2E5C8A"/>
          <w:sz w:val="29"/>
        </w:rPr>
        <w:t>稳健性检验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分年度稳健性检验（标准化系数）</w:t>
      </w:r>
    </w:p>
    <w:tbl>
      <w:tblPr>
        <w:tblStyle w:val="TableGrid"/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1700"/>
        <w:gridCol w:w="1587"/>
        <w:gridCol w:w="1587"/>
        <w:gridCol w:w="1474"/>
        <w:gridCol w:w="1474"/>
        <w:gridCol w:w="1360"/>
      </w:tblGrid>
      <w:tr>
        <w:tc>
          <w:tcPr>
            <w:tcW w:type="dxa" w:w="1701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子样本</w:t>
            </w:r>
          </w:p>
        </w:tc>
        <w:tc>
          <w:tcPr>
            <w:tcW w:type="dxa" w:w="158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N</w:t>
            </w:r>
          </w:p>
        </w:tc>
        <w:tc>
          <w:tcPr>
            <w:tcW w:type="dxa" w:w="158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迟到 β</w:t>
            </w:r>
          </w:p>
        </w:tc>
        <w:tc>
          <w:tcPr>
            <w:tcW w:type="dxa" w:w="1474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距离 β</w:t>
            </w:r>
          </w:p>
        </w:tc>
        <w:tc>
          <w:tcPr>
            <w:tcW w:type="dxa" w:w="1474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超期 β</w:t>
            </w:r>
          </w:p>
        </w:tc>
        <w:tc>
          <w:tcPr>
            <w:tcW w:type="dxa" w:w="1361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R²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2017 年</w:t>
            </w:r>
          </w:p>
        </w:tc>
        <w:tc>
          <w:tcPr>
            <w:tcW w:type="dxa" w:w="1587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42,331</w:t>
            </w:r>
          </w:p>
        </w:tc>
        <w:tc>
          <w:tcPr>
            <w:tcW w:type="dxa" w:w="1587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−0.2528</w:t>
            </w:r>
          </w:p>
        </w:tc>
        <w:tc>
          <w:tcPr>
            <w:tcW w:type="dxa" w:w="147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+0.0612</w:t>
            </w:r>
          </w:p>
        </w:tc>
        <w:tc>
          <w:tcPr>
            <w:tcW w:type="dxa" w:w="147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−0.0051</w:t>
            </w:r>
          </w:p>
        </w:tc>
        <w:tc>
          <w:tcPr>
            <w:tcW w:type="dxa" w:w="1361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0.1408</w:t>
            </w:r>
          </w:p>
        </w:tc>
      </w:tr>
      <w:tr>
        <w:tc>
          <w:tcPr>
            <w:tcW w:type="dxa" w:w="1701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2018 年</w:t>
            </w:r>
          </w:p>
        </w:tc>
        <w:tc>
          <w:tcPr>
            <w:tcW w:type="dxa" w:w="1587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50,456</w:t>
            </w:r>
          </w:p>
        </w:tc>
        <w:tc>
          <w:tcPr>
            <w:tcW w:type="dxa" w:w="1587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−0.2937</w:t>
            </w:r>
          </w:p>
        </w:tc>
        <w:tc>
          <w:tcPr>
            <w:tcW w:type="dxa" w:w="147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+0.0626</w:t>
            </w:r>
          </w:p>
        </w:tc>
        <w:tc>
          <w:tcPr>
            <w:tcW w:type="dxa" w:w="1474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+0.0041</w:t>
            </w:r>
          </w:p>
        </w:tc>
        <w:tc>
          <w:tcPr>
            <w:tcW w:type="dxa" w:w="1361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0.1931</w:t>
            </w:r>
          </w:p>
        </w:tc>
      </w:tr>
      <w:tr>
        <w:tc>
          <w:tcPr>
            <w:tcW w:type="dxa" w:w="170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全样本</w:t>
            </w:r>
          </w:p>
        </w:tc>
        <w:tc>
          <w:tcPr>
            <w:tcW w:type="dxa" w:w="1587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93,047</w:t>
            </w:r>
          </w:p>
        </w:tc>
        <w:tc>
          <w:tcPr>
            <w:tcW w:type="dxa" w:w="1587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−0.2771</w:t>
            </w:r>
          </w:p>
        </w:tc>
        <w:tc>
          <w:tcPr>
            <w:tcW w:type="dxa" w:w="147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+0.0636</w:t>
            </w:r>
          </w:p>
        </w:tc>
        <w:tc>
          <w:tcPr>
            <w:tcW w:type="dxa" w:w="1474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−0.0002</w:t>
            </w:r>
          </w:p>
        </w:tc>
        <w:tc>
          <w:tcPr>
            <w:tcW w:type="dxa" w:w="1361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0.1695</w:t>
            </w:r>
          </w:p>
        </w:tc>
      </w:tr>
    </w:tbl>
    <w:p>
      <w:pPr>
        <w:spacing w:after="20"/>
      </w:pPr>
    </w:p>
    <w:p>
      <w:pPr>
        <w:spacing w:before="0" w:after="120"/>
        <w:ind w:firstLine="454"/>
      </w:pPr>
      <w:r>
        <w:rPr>
          <w:rFonts w:ascii="宋体" w:hAnsi="宋体" w:eastAsia="宋体"/>
          <w:b w:val="0"/>
          <w:i w:val="0"/>
          <w:sz w:val="23"/>
        </w:rPr>
        <w:t>三个关键结论在两年间完全一致，说明不是特定年份的偶然现象。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640248" cy="25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模型解释力对比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0248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微软雅黑" w:hAnsi="微软雅黑" w:eastAsia="微软雅黑"/>
          <w:color w:val="6B7280"/>
          <w:sz w:val="19"/>
        </w:rPr>
        <w:t>图 3-5  逐步加入变量后的解释力：仅时间变量 R²=0.11 → 加入违约 0.16 → 全模型 0.17</w:t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pPr>
        <w:spacing w:before="400" w:after="240"/>
        <w:pBdr>
          <w:bottom w:val="single" w:sz="10" w:color="1E3A5F"/>
        </w:pBdr>
      </w:pPr>
      <w:r>
        <w:rPr>
          <w:rFonts w:ascii="微软雅黑" w:hAnsi="微软雅黑" w:eastAsia="微软雅黑"/>
          <w:b/>
          <w:color w:val="1E3A5F"/>
          <w:sz w:val="36"/>
        </w:rPr>
        <w:t xml:space="preserve">第四章  </w:t>
      </w:r>
      <w:r>
        <w:rPr>
          <w:rFonts w:ascii="微软雅黑" w:hAnsi="微软雅黑" w:eastAsia="微软雅黑"/>
          <w:b/>
          <w:color w:val="1E3A5F"/>
          <w:sz w:val="36"/>
        </w:rPr>
        <w:t>交互式仪表盘（Power BI）</w:t>
      </w:r>
    </w:p>
    <w:p>
      <w:pPr>
        <w:spacing w:before="0" w:after="120"/>
        <w:ind w:firstLine="454"/>
      </w:pPr>
      <w:r>
        <w:rPr>
          <w:rFonts w:ascii="宋体" w:hAnsi="宋体" w:eastAsia="宋体"/>
          <w:b w:val="0"/>
          <w:i w:val="0"/>
          <w:sz w:val="23"/>
        </w:rPr>
        <w:t>为让结论可以被业务方自助探索，用 Power BI 构建了 6 页交互式仪表盘，数据源是从 PostgreSQL 直接连接的订单级宽表 v_pbi_orders（99,441 行）。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仪表盘页面结构</w:t>
      </w:r>
    </w:p>
    <w:tbl>
      <w:tblPr>
        <w:tblStyle w:val="TableGrid"/>
        <w:jc w:val="center"/>
        <w:tblLook w:firstColumn="1" w:firstRow="1" w:lastColumn="0" w:lastRow="0" w:noHBand="0" w:noVBand="1" w:val="04A0"/>
        <w:tblW w:w="14683" w:type="dxa"/>
        <w:tblLayout w:type="fixed"/>
      </w:tblPr>
      <w:tblGrid>
        <w:gridCol w:w="2607"/>
        <w:gridCol w:w="5669"/>
        <w:gridCol w:w="6406"/>
      </w:tblGrid>
      <w:tr>
        <w:tc>
          <w:tcPr>
            <w:tcW w:type="dxa" w:w="2608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页面</w:t>
            </w:r>
          </w:p>
        </w:tc>
        <w:tc>
          <w:tcPr>
            <w:tcW w:type="dxa" w:w="5669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6406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核心图表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P1 经营总览</w:t>
            </w:r>
          </w:p>
        </w:tc>
        <w:tc>
          <w:tcPr>
            <w:tcW w:type="dxa" w:w="566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5 项核心 KPI + 趋势 + 分布</w:t>
            </w:r>
          </w:p>
        </w:tc>
        <w:tc>
          <w:tcPr>
            <w:tcW w:type="dxa" w:w="6406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多行卡、折线图、环形图、柱形图</w:t>
            </w:r>
          </w:p>
        </w:tc>
      </w:tr>
      <w:tr>
        <w:tc>
          <w:tcPr>
            <w:tcW w:type="dxa" w:w="2608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P2 差评归因</w:t>
            </w:r>
          </w:p>
        </w:tc>
        <w:tc>
          <w:tcPr>
            <w:tcW w:type="dxa" w:w="5669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★ 六因素对差评率的对比</w:t>
            </w:r>
          </w:p>
        </w:tc>
        <w:tc>
          <w:tcPr>
            <w:tcW w:type="dxa" w:w="6406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6 个簇状柱形图 + 结论文本框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P3 流程拆解</w:t>
            </w:r>
          </w:p>
        </w:tc>
        <w:tc>
          <w:tcPr>
            <w:tcW w:type="dxa" w:w="566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三段耗时占比 + 月度迟到率</w:t>
            </w:r>
          </w:p>
        </w:tc>
        <w:tc>
          <w:tcPr>
            <w:tcW w:type="dxa" w:w="6406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环形图、明细表、折线图</w:t>
            </w:r>
          </w:p>
        </w:tc>
      </w:tr>
      <w:tr>
        <w:tc>
          <w:tcPr>
            <w:tcW w:type="dxa" w:w="2608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P4 地域分析</w:t>
            </w:r>
          </w:p>
        </w:tc>
        <w:tc>
          <w:tcPr>
            <w:tcW w:type="dxa" w:w="5669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各州订单量/迟到率/差评率</w:t>
            </w:r>
          </w:p>
        </w:tc>
        <w:tc>
          <w:tcPr>
            <w:tcW w:type="dxa" w:w="6406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3 个条形图 + 气泡图</w:t>
            </w:r>
          </w:p>
        </w:tc>
      </w:tr>
      <w:tr>
        <w:tc>
          <w:tcPr>
            <w:tcW w:type="dxa" w:w="260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P5 品类分析</w:t>
            </w:r>
          </w:p>
        </w:tc>
        <w:tc>
          <w:tcPr>
            <w:tcW w:type="dxa" w:w="5669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品类销售额/差评率/备货天数</w:t>
            </w:r>
          </w:p>
        </w:tc>
        <w:tc>
          <w:tcPr>
            <w:tcW w:type="dxa" w:w="6406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3 个条形图 + 矩阵表</w:t>
            </w:r>
          </w:p>
        </w:tc>
      </w:tr>
      <w:tr>
        <w:tc>
          <w:tcPr>
            <w:tcW w:type="dxa" w:w="2608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P6 数据说明</w:t>
            </w:r>
          </w:p>
        </w:tc>
        <w:tc>
          <w:tcPr>
            <w:tcW w:type="dxa" w:w="5669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口径定义与局限</w:t>
            </w:r>
          </w:p>
        </w:tc>
        <w:tc>
          <w:tcPr>
            <w:tcW w:type="dxa" w:w="6406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文本框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4.1  </w:t>
      </w:r>
      <w:r>
        <w:rPr>
          <w:rFonts w:ascii="微软雅黑" w:hAnsi="微软雅黑" w:eastAsia="微软雅黑"/>
          <w:b/>
          <w:color w:val="2E5C8A"/>
          <w:sz w:val="29"/>
        </w:rPr>
        <w:t>P1 经营总览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8351162" cy="478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351162" cy="47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微软雅黑" w:hAnsi="微软雅黑" w:eastAsia="微软雅黑"/>
          <w:color w:val="6B7280"/>
          <w:sz w:val="19"/>
        </w:rPr>
        <w:t>仪表盘 P1  经营总览：99,441 单 / R$ 15.84M / 客单价 R$ 159.33 / 评分 4.09 / 差评率 14.63%</w:t>
      </w:r>
    </w:p>
    <w:p>
      <w:r>
        <w:br w:type="page"/>
      </w: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4.2  </w:t>
      </w:r>
      <w:r>
        <w:rPr>
          <w:rFonts w:ascii="微软雅黑" w:hAnsi="微软雅黑" w:eastAsia="微软雅黑"/>
          <w:b/>
          <w:color w:val="2E5C8A"/>
          <w:sz w:val="29"/>
        </w:rPr>
        <w:t>P2 差评归因（核心页）</w:t>
      </w:r>
    </w:p>
    <w:p>
      <w:pPr>
        <w:spacing w:before="0" w:after="120"/>
        <w:ind w:firstLine="454"/>
      </w:pPr>
      <w:r>
        <w:rPr>
          <w:rFonts w:ascii="宋体" w:hAnsi="宋体" w:eastAsia="宋体"/>
          <w:b w:val="0"/>
          <w:i w:val="0"/>
          <w:sz w:val="23"/>
        </w:rPr>
        <w:t>这一页是整份报告核心结论的可视化：六个因素分别作为一个柱形图，Y 轴统一为差评率、统一量程 0–60%，方便横向对比。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7848837" cy="45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848837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微软雅黑" w:hAnsi="微软雅黑" w:eastAsia="微软雅黑"/>
          <w:color w:val="6B7280"/>
          <w:sz w:val="19"/>
        </w:rPr>
        <w:t>仪表盘 P2  差评归因：迟到 53.94% vs 准时 9.18%；超期 23.69% vs 按期 11.68%；跨州 14.07% vs 同州 10.43%</w:t>
      </w:r>
    </w:p>
    <w:p>
      <w:r>
        <w:br w:type="page"/>
      </w: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4.3  </w:t>
      </w:r>
      <w:r>
        <w:rPr>
          <w:rFonts w:ascii="微软雅黑" w:hAnsi="微软雅黑" w:eastAsia="微软雅黑"/>
          <w:b/>
          <w:color w:val="2E5C8A"/>
          <w:sz w:val="29"/>
        </w:rPr>
        <w:t>P3 流程拆解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8351162" cy="478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0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351162" cy="47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微软雅黑" w:hAnsi="微软雅黑" w:eastAsia="微软雅黑"/>
          <w:color w:val="6B7280"/>
          <w:sz w:val="19"/>
        </w:rPr>
        <w:t>仪表盘 P3  流程拆解：运输占 74.23%，是绝对瓶颈；月度迟到率在 2018-03 达到 21.4%</w:t>
      </w:r>
    </w:p>
    <w:p>
      <w:r>
        <w:br w:type="page"/>
      </w: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4.4  </w:t>
      </w:r>
      <w:r>
        <w:rPr>
          <w:rFonts w:ascii="微软雅黑" w:hAnsi="微软雅黑" w:eastAsia="微软雅黑"/>
          <w:b/>
          <w:color w:val="2E5C8A"/>
          <w:sz w:val="29"/>
        </w:rPr>
        <w:t>P4 地域分析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8351162" cy="478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0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351162" cy="47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微软雅黑" w:hAnsi="微软雅黑" w:eastAsia="微软雅黑"/>
          <w:color w:val="6B7280"/>
          <w:sz w:val="19"/>
        </w:rPr>
        <w:t>仪表盘 P4  地域分析：AL 迟到率 23.93% 最高，RO 仅 2.9%；气泡图展示"运输天数 × 迟到率 × 订单量"</w:t>
      </w:r>
    </w:p>
    <w:p>
      <w:r>
        <w:br w:type="page"/>
      </w: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4.5  </w:t>
      </w:r>
      <w:r>
        <w:rPr>
          <w:rFonts w:ascii="微软雅黑" w:hAnsi="微软雅黑" w:eastAsia="微软雅黑"/>
          <w:b/>
          <w:color w:val="2E5C8A"/>
          <w:sz w:val="29"/>
        </w:rPr>
        <w:t>P5 品类分析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8351162" cy="478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0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351162" cy="47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微软雅黑" w:hAnsi="微软雅黑" w:eastAsia="微软雅黑"/>
          <w:color w:val="6B7280"/>
          <w:sz w:val="19"/>
        </w:rPr>
        <w:t>仪表盘 P5  品类分析：office_furniture 差评 22.51% 且备货 9.92 天（物流型）；audio 差评 21.51% 但备货仅 2.51 天（商品型）</w:t>
      </w:r>
    </w:p>
    <w:p>
      <w:r>
        <w:br w:type="page"/>
      </w: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4.6  </w:t>
      </w:r>
      <w:r>
        <w:rPr>
          <w:rFonts w:ascii="微软雅黑" w:hAnsi="微软雅黑" w:eastAsia="微软雅黑"/>
          <w:b/>
          <w:color w:val="2E5C8A"/>
          <w:sz w:val="29"/>
        </w:rPr>
        <w:t>P6 数据说明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8351162" cy="478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0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351162" cy="47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微软雅黑" w:hAnsi="微软雅黑" w:eastAsia="微软雅黑"/>
          <w:color w:val="6B7280"/>
          <w:sz w:val="19"/>
        </w:rPr>
        <w:t>仪表盘 P6  数据说明：数据来源、指标口径、分析方法、已知局限与修正记录</w:t>
      </w:r>
    </w:p>
    <w:p>
      <w:pPr>
        <w:sectPr>
          <w:pgSz w:w="16838" w:h="11906" w:orient="landscape"/>
          <w:pgMar w:top="850" w:right="1077" w:bottom="850" w:left="1077" w:header="720" w:footer="720" w:gutter="0"/>
          <w:cols w:space="720"/>
          <w:docGrid w:linePitch="360"/>
        </w:sectPr>
      </w:pPr>
    </w:p>
    <w:p>
      <w:pPr>
        <w:spacing w:before="400" w:after="240"/>
        <w:pBdr>
          <w:bottom w:val="single" w:sz="10" w:color="1E3A5F"/>
        </w:pBdr>
      </w:pPr>
      <w:r>
        <w:rPr>
          <w:rFonts w:ascii="微软雅黑" w:hAnsi="微软雅黑" w:eastAsia="微软雅黑"/>
          <w:b/>
          <w:color w:val="1E3A5F"/>
          <w:sz w:val="36"/>
        </w:rPr>
        <w:t xml:space="preserve">第五章  </w:t>
      </w:r>
      <w:r>
        <w:rPr>
          <w:rFonts w:ascii="微软雅黑" w:hAnsi="微软雅黑" w:eastAsia="微软雅黑"/>
          <w:b/>
          <w:color w:val="1E3A5F"/>
          <w:sz w:val="36"/>
        </w:rPr>
        <w:t>业务建议</w:t>
      </w: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5.1  </w:t>
      </w:r>
      <w:r>
        <w:rPr>
          <w:rFonts w:ascii="微软雅黑" w:hAnsi="微软雅黑" w:eastAsia="微软雅黑"/>
          <w:b/>
          <w:color w:val="2E5C8A"/>
          <w:sz w:val="29"/>
        </w:rPr>
        <w:t>三条核心建议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按优先级排列的业务建议</w:t>
      </w:r>
    </w:p>
    <w:tbl>
      <w:tblPr>
        <w:tblStyle w:val="TableGrid"/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737"/>
        <w:gridCol w:w="2381"/>
        <w:gridCol w:w="3061"/>
        <w:gridCol w:w="1927"/>
        <w:gridCol w:w="1077"/>
      </w:tblGrid>
      <w:tr>
        <w:tc>
          <w:tcPr>
            <w:tcW w:type="dxa" w:w="73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381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措施</w:t>
            </w:r>
          </w:p>
        </w:tc>
        <w:tc>
          <w:tcPr>
            <w:tcW w:type="dxa" w:w="3061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数据依据</w:t>
            </w:r>
          </w:p>
        </w:tc>
        <w:tc>
          <w:tcPr>
            <w:tcW w:type="dxa" w:w="1928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预期效果</w:t>
            </w:r>
          </w:p>
        </w:tc>
        <w:tc>
          <w:tcPr>
            <w:tcW w:type="dxa" w:w="107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成本</w:t>
            </w:r>
          </w:p>
        </w:tc>
      </w:tr>
      <w:tr>
        <w:tc>
          <w:tcPr>
            <w:tcW w:type="dxa" w:w="73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238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停止为"数据好看"而收紧预估窗口</w:t>
            </w:r>
          </w:p>
        </w:tc>
        <w:tc>
          <w:tcPr>
            <w:tcW w:type="dxa" w:w="306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2018-08 预估压至 15.2 天，实际送更快（7.7 天）但迟到率从 4.5% 涨到 10.4%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迟到率可降 5–8 pp</w:t>
            </w:r>
          </w:p>
        </w:tc>
        <w:tc>
          <w:tcPr>
            <w:tcW w:type="dxa" w:w="1077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极低（改参数）</w:t>
            </w:r>
          </w:p>
        </w:tc>
      </w:tr>
      <w:tr>
        <w:tc>
          <w:tcPr>
            <w:tcW w:type="dxa" w:w="737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P0</w:t>
            </w:r>
          </w:p>
        </w:tc>
        <w:tc>
          <w:tcPr>
            <w:tcW w:type="dxa" w:w="2381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建立卖家发货时效考核，超期扣分/降权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9.06% 超期发货；超期单差评率 23.69%（基线 14.63%）</w:t>
            </w:r>
          </w:p>
        </w:tc>
        <w:tc>
          <w:tcPr>
            <w:tcW w:type="dxa" w:w="1928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超期率降到 5%，可减少约 1/3 相关差评</w:t>
            </w:r>
          </w:p>
        </w:tc>
        <w:tc>
          <w:tcPr>
            <w:tcW w:type="dxa" w:w="1077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低（定规则）</w:t>
            </w:r>
          </w:p>
        </w:tc>
      </w:tr>
      <w:tr>
        <w:tc>
          <w:tcPr>
            <w:tcW w:type="dxa" w:w="73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P1</w:t>
            </w:r>
          </w:p>
        </w:tc>
        <w:tc>
          <w:tcPr>
            <w:tcW w:type="dxa" w:w="238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大件/家具品类设独立承诺标准</w:t>
            </w:r>
          </w:p>
        </w:tc>
        <w:tc>
          <w:tcPr>
            <w:tcW w:type="dxa" w:w="306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office_furniture 备货 9.92 天（均值 3.5 倍），差评 22.51%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避免卖家被误判，减少品类性差评</w:t>
            </w:r>
          </w:p>
        </w:tc>
        <w:tc>
          <w:tcPr>
            <w:tcW w:type="dxa" w:w="1077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低</w:t>
            </w:r>
          </w:p>
        </w:tc>
      </w:tr>
      <w:tr>
        <w:tc>
          <w:tcPr>
            <w:tcW w:type="dxa" w:w="737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P1</w:t>
            </w:r>
          </w:p>
        </w:tc>
        <w:tc>
          <w:tcPr>
            <w:tcW w:type="dxa" w:w="2381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旺季（黑五/圣诞）提前扩容运力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2017-11 订单 +63%，迟到率 5.3% → 14.3%；2018-03 迟到 21.4%</w:t>
            </w:r>
          </w:p>
        </w:tc>
        <w:tc>
          <w:tcPr>
            <w:tcW w:type="dxa" w:w="1928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旺季迟到率减半</w:t>
            </w:r>
          </w:p>
        </w:tc>
        <w:tc>
          <w:tcPr>
            <w:tcW w:type="dxa" w:w="1077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中</w:t>
            </w:r>
          </w:p>
        </w:tc>
      </w:tr>
      <w:tr>
        <w:tc>
          <w:tcPr>
            <w:tcW w:type="dxa" w:w="73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P2</w:t>
            </w:r>
          </w:p>
        </w:tc>
        <w:tc>
          <w:tcPr>
            <w:tcW w:type="dxa" w:w="238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聚焦 Top 卖家治理（按影响面排序）</w:t>
            </w:r>
          </w:p>
        </w:tc>
        <w:tc>
          <w:tcPr>
            <w:tcW w:type="dxa" w:w="306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单一卖家贡献 8,623 天超额延误（是第二名的 4.5 倍）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集中资源，ROI 最高</w:t>
            </w:r>
          </w:p>
        </w:tc>
        <w:tc>
          <w:tcPr>
            <w:tcW w:type="dxa" w:w="1077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低</w:t>
            </w:r>
          </w:p>
        </w:tc>
      </w:tr>
      <w:tr>
        <w:tc>
          <w:tcPr>
            <w:tcW w:type="dxa" w:w="737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P2</w:t>
            </w:r>
          </w:p>
        </w:tc>
        <w:tc>
          <w:tcPr>
            <w:tcW w:type="dxa" w:w="2381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多卖家订单体验专项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2 卖家订单差评率 46.34%（全国 12.5%）</w:t>
            </w:r>
          </w:p>
        </w:tc>
        <w:tc>
          <w:tcPr>
            <w:tcW w:type="dxa" w:w="1928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该场景仅占 1.3%，但体验极差</w:t>
            </w:r>
          </w:p>
        </w:tc>
        <w:tc>
          <w:tcPr>
            <w:tcW w:type="dxa" w:w="1077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中</w:t>
            </w:r>
          </w:p>
        </w:tc>
      </w:tr>
      <w:tr>
        <w:tc>
          <w:tcPr>
            <w:tcW w:type="dxa" w:w="737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238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不建议盲目在偏远州投运力</w:t>
            </w:r>
          </w:p>
        </w:tc>
        <w:tc>
          <w:tcPr>
            <w:tcW w:type="dxa" w:w="306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距离净效应 +0.064（控制运输时长后为正），d = −0.12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投入产出比低</w:t>
            </w:r>
          </w:p>
        </w:tc>
        <w:tc>
          <w:tcPr>
            <w:tcW w:type="dxa" w:w="1077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</w:tr>
    </w:tbl>
    <w:p>
      <w:pPr>
        <w:spacing w:after="20"/>
      </w:pP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5.2  </w:t>
      </w:r>
      <w:r>
        <w:rPr>
          <w:rFonts w:ascii="微软雅黑" w:hAnsi="微软雅黑" w:eastAsia="微软雅黑"/>
          <w:b/>
          <w:color w:val="2E5C8A"/>
          <w:sz w:val="29"/>
        </w:rPr>
        <w:t>指标体系建议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建议的指标体系</w:t>
      </w:r>
    </w:p>
    <w:tbl>
      <w:tblPr>
        <w:tblStyle w:val="TableGrid"/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1360"/>
        <w:gridCol w:w="3061"/>
        <w:gridCol w:w="2494"/>
        <w:gridCol w:w="2267"/>
      </w:tblGrid>
      <w:tr>
        <w:tc>
          <w:tcPr>
            <w:tcW w:type="dxa" w:w="1361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3061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494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建议目标</w:t>
            </w:r>
          </w:p>
        </w:tc>
        <w:tc>
          <w:tcPr>
            <w:tcW w:type="dxa" w:w="2268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北极星</w:t>
            </w:r>
          </w:p>
        </w:tc>
        <w:tc>
          <w:tcPr>
            <w:tcW w:type="dxa" w:w="306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差评率（1-2 星占比）</w:t>
            </w:r>
          </w:p>
        </w:tc>
        <w:tc>
          <w:tcPr>
            <w:tcW w:type="dxa" w:w="249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14.63% → 10% 以内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直接反映客户满意度</w:t>
            </w:r>
          </w:p>
        </w:tc>
      </w:tr>
      <w:tr>
        <w:tc>
          <w:tcPr>
            <w:tcW w:type="dxa" w:w="1361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过程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准时送达率</w:t>
            </w:r>
          </w:p>
        </w:tc>
        <w:tc>
          <w:tcPr>
            <w:tcW w:type="dxa" w:w="2494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92.28% → 96%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★ 最重要，对应最强因素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过程</w:t>
            </w:r>
          </w:p>
        </w:tc>
        <w:tc>
          <w:tcPr>
            <w:tcW w:type="dxa" w:w="306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卖家超期发货率</w:t>
            </w:r>
          </w:p>
        </w:tc>
        <w:tc>
          <w:tcPr>
            <w:tcW w:type="dxa" w:w="249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9.06% → 5% 以内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迟到的上游原因，可考核</w:t>
            </w:r>
          </w:p>
        </w:tc>
      </w:tr>
      <w:tr>
        <w:tc>
          <w:tcPr>
            <w:tcW w:type="dxa" w:w="1361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过程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平均备货天数</w:t>
            </w:r>
          </w:p>
        </w:tc>
        <w:tc>
          <w:tcPr>
            <w:tcW w:type="dxa" w:w="2494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2.81 → 2.2 天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完全可控</w:t>
            </w:r>
          </w:p>
        </w:tc>
      </w:tr>
      <w:tr>
        <w:tc>
          <w:tcPr>
            <w:tcW w:type="dxa" w:w="13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预警</w:t>
            </w:r>
          </w:p>
        </w:tc>
        <w:tc>
          <w:tcPr>
            <w:tcW w:type="dxa" w:w="3061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预估收紧幅度 ÷ 实际提速幅度</w:t>
            </w:r>
          </w:p>
        </w:tc>
        <w:tc>
          <w:tcPr>
            <w:tcW w:type="dxa" w:w="249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比值 ≤ 1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★ 防止为数据好看而收紧承诺</w:t>
            </w:r>
          </w:p>
        </w:tc>
      </w:tr>
      <w:tr>
        <w:tc>
          <w:tcPr>
            <w:tcW w:type="dxa" w:w="1361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分群</w:t>
            </w:r>
          </w:p>
        </w:tc>
        <w:tc>
          <w:tcPr>
            <w:tcW w:type="dxa" w:w="3061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各州 / 各品类准时率</w:t>
            </w:r>
          </w:p>
        </w:tc>
        <w:tc>
          <w:tcPr>
            <w:tcW w:type="dxa" w:w="2494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差异化目标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避免全国平均掩盖结构问题</w:t>
            </w:r>
          </w:p>
        </w:tc>
      </w:tr>
    </w:tbl>
    <w:p>
      <w:pPr>
        <w:spacing w:after="20"/>
      </w:pPr>
    </w:p>
    <w:p>
      <w:pPr>
        <w:spacing w:before="0" w:after="120"/>
        <w:ind w:firstLine="454"/>
      </w:pPr>
      <w:r>
        <w:rPr>
          <w:rFonts w:ascii="宋体" w:hAnsi="宋体" w:eastAsia="宋体"/>
          <w:b w:val="0"/>
          <w:i w:val="0"/>
          <w:sz w:val="23"/>
        </w:rPr>
        <w:t>特别说明「预警指标」：2018 年 8 月的数据显示，平台把预估从 19.7 天压到 15.2 天，实际配送反而更快了（9.0 → 7.7 天），但迟到率从 4.5% 涨到 10.4%。如果不监控「承诺 vs 实际的相对变化」，这类问题会被误判为「物流变差」。</w:t>
      </w: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5.3  </w:t>
      </w:r>
      <w:r>
        <w:rPr>
          <w:rFonts w:ascii="微软雅黑" w:hAnsi="微软雅黑" w:eastAsia="微软雅黑"/>
          <w:b/>
          <w:color w:val="2E5C8A"/>
          <w:sz w:val="29"/>
        </w:rPr>
        <w:t>落地路线图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三阶段落地路线图</w:t>
      </w:r>
    </w:p>
    <w:tbl>
      <w:tblPr>
        <w:tblStyle w:val="TableGrid"/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1474"/>
        <w:gridCol w:w="1247"/>
        <w:gridCol w:w="4195"/>
        <w:gridCol w:w="2267"/>
      </w:tblGrid>
      <w:tr>
        <w:tc>
          <w:tcPr>
            <w:tcW w:type="dxa" w:w="1474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247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4195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动作</w:t>
            </w:r>
          </w:p>
        </w:tc>
        <w:tc>
          <w:tcPr>
            <w:tcW w:type="dxa" w:w="2268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预期收益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第一阶段</w:t>
              <w:br/>
              <w:t>快速见效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0–1 个月</w:t>
            </w:r>
          </w:p>
        </w:tc>
        <w:tc>
          <w:tcPr>
            <w:tcW w:type="dxa" w:w="419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① 上线卖家超期发货考核</w:t>
              <w:br/>
              <w:t>② 冻结预估窗口收紧操作</w:t>
              <w:br/>
              <w:t>③ 建立差评率周报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超期率 −2 pp，迟到率 −3 pp</w:t>
            </w:r>
          </w:p>
        </w:tc>
      </w:tr>
      <w:tr>
        <w:tc>
          <w:tcPr>
            <w:tcW w:type="dxa" w:w="1474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第二阶段</w:t>
              <w:br/>
              <w:t>结构优化</w:t>
            </w:r>
          </w:p>
        </w:tc>
        <w:tc>
          <w:tcPr>
            <w:tcW w:type="dxa" w:w="1247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1–3 个月</w:t>
            </w:r>
          </w:p>
        </w:tc>
        <w:tc>
          <w:tcPr>
            <w:tcW w:type="dxa" w:w="4195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① 按影响面排序治理 Top 50 卖家</w:t>
              <w:br/>
              <w:t>② 大件品类独立承诺标准</w:t>
              <w:br/>
              <w:t>③ 多卖家订单体验排查</w:t>
            </w:r>
          </w:p>
        </w:tc>
        <w:tc>
          <w:tcPr>
            <w:tcW w:type="dxa" w:w="2268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差评率 −2 pp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第三阶段</w:t>
              <w:br/>
              <w:t>长期建设</w:t>
            </w:r>
          </w:p>
        </w:tc>
        <w:tc>
          <w:tcPr>
            <w:tcW w:type="dxa" w:w="1247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3–6 个月</w:t>
            </w:r>
          </w:p>
        </w:tc>
        <w:tc>
          <w:tcPr>
            <w:tcW w:type="dxa" w:w="419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① 旺季运力弹性预案</w:t>
              <w:br/>
              <w:t>② 分州差异化承诺策略</w:t>
              <w:br/>
              <w:t>③ 远距离订单主动通知机制</w:t>
            </w:r>
          </w:p>
        </w:tc>
        <w:tc>
          <w:tcPr>
            <w:tcW w:type="dxa" w:w="226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旺季迟到率减半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400" w:after="240"/>
        <w:pBdr>
          <w:bottom w:val="single" w:sz="10" w:color="1E3A5F"/>
        </w:pBdr>
      </w:pPr>
      <w:r>
        <w:rPr>
          <w:rFonts w:ascii="微软雅黑" w:hAnsi="微软雅黑" w:eastAsia="微软雅黑"/>
          <w:b/>
          <w:color w:val="1E3A5F"/>
          <w:sz w:val="36"/>
        </w:rPr>
        <w:t xml:space="preserve">第六章  </w:t>
      </w:r>
      <w:r>
        <w:rPr>
          <w:rFonts w:ascii="微软雅黑" w:hAnsi="微软雅黑" w:eastAsia="微软雅黑"/>
          <w:b/>
          <w:color w:val="1E3A5F"/>
          <w:sz w:val="36"/>
        </w:rPr>
        <w:t>局限与修正记录</w:t>
      </w:r>
    </w:p>
    <w:p>
      <w:pPr>
        <w:spacing w:before="0" w:after="120"/>
        <w:ind w:firstLine="454"/>
      </w:pPr>
      <w:r>
        <w:rPr>
          <w:rFonts w:ascii="宋体" w:hAnsi="宋体" w:eastAsia="宋体"/>
          <w:b w:val="0"/>
          <w:i w:val="0"/>
          <w:sz w:val="23"/>
        </w:rPr>
        <w:t>一份诚实的分析必须说明自己没做到什么、哪里可能出错。这一章也是本项目最贴近真实工作的部分。</w:t>
      </w: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6.1  </w:t>
      </w:r>
      <w:r>
        <w:rPr>
          <w:rFonts w:ascii="微软雅黑" w:hAnsi="微软雅黑" w:eastAsia="微软雅黑"/>
          <w:b/>
          <w:color w:val="2E5C8A"/>
          <w:sz w:val="29"/>
        </w:rPr>
        <w:t>数据本身的局限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数据局限性清单</w:t>
      </w:r>
    </w:p>
    <w:tbl>
      <w:tblPr>
        <w:tblStyle w:val="TableGrid"/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2721"/>
        <w:gridCol w:w="3514"/>
        <w:gridCol w:w="2948"/>
      </w:tblGrid>
      <w:tr>
        <w:tc>
          <w:tcPr>
            <w:tcW w:type="dxa" w:w="2721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局限</w:t>
            </w:r>
          </w:p>
        </w:tc>
        <w:tc>
          <w:tcPr>
            <w:tcW w:type="dxa" w:w="3515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具体影响</w:t>
            </w:r>
          </w:p>
        </w:tc>
        <w:tc>
          <w:tcPr>
            <w:tcW w:type="dxa" w:w="2948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本报告的处理</w:t>
            </w:r>
          </w:p>
        </w:tc>
      </w:tr>
      <w:tr>
        <w:tc>
          <w:tcPr>
            <w:tcW w:type="dxa" w:w="27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订单只有一个签收时间戳</w:t>
            </w:r>
          </w:p>
        </w:tc>
        <w:tc>
          <w:tcPr>
            <w:tcW w:type="dxa" w:w="351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分批发货时无法反映最晚送达，多卖家订单指标失真</w:t>
            </w:r>
          </w:p>
        </w:tc>
        <w:tc>
          <w:tcPr>
            <w:tcW w:type="dxa" w:w="294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不采信该指标，并说明原因</w:t>
            </w:r>
          </w:p>
        </w:tc>
      </w:tr>
      <w:tr>
        <w:tc>
          <w:tcPr>
            <w:tcW w:type="dxa" w:w="2721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缺少物流商字段</w:t>
            </w:r>
          </w:p>
        </w:tc>
        <w:tc>
          <w:tcPr>
            <w:tcW w:type="dxa" w:w="3515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无法归因到具体承运方</w:t>
            </w:r>
          </w:p>
        </w:tc>
        <w:tc>
          <w:tcPr>
            <w:tcW w:type="dxa" w:w="2948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作为局限说明</w:t>
            </w:r>
          </w:p>
        </w:tc>
      </w:tr>
      <w:tr>
        <w:tc>
          <w:tcPr>
            <w:tcW w:type="dxa" w:w="27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评论缺失率高（标题 88.3%、内容 58.7%）</w:t>
            </w:r>
          </w:p>
        </w:tc>
        <w:tc>
          <w:tcPr>
            <w:tcW w:type="dxa" w:w="351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无法做文本情感分析</w:t>
            </w:r>
          </w:p>
        </w:tc>
        <w:tc>
          <w:tcPr>
            <w:tcW w:type="dxa" w:w="294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只使用评分</w:t>
            </w:r>
          </w:p>
        </w:tc>
      </w:tr>
      <w:tr>
        <w:tc>
          <w:tcPr>
            <w:tcW w:type="dxa" w:w="2721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4 个月份数据不完整</w:t>
            </w:r>
          </w:p>
        </w:tc>
        <w:tc>
          <w:tcPr>
            <w:tcW w:type="dxa" w:w="3515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月度趋势首尾失真</w:t>
            </w:r>
          </w:p>
        </w:tc>
        <w:tc>
          <w:tcPr>
            <w:tcW w:type="dxa" w:w="2948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分析时剔除（HAVING 门槛）</w:t>
            </w:r>
          </w:p>
        </w:tc>
      </w:tr>
      <w:tr>
        <w:tc>
          <w:tcPr>
            <w:tcW w:type="dxa" w:w="272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23 条负值时间戳</w:t>
            </w:r>
          </w:p>
        </w:tc>
        <w:tc>
          <w:tcPr>
            <w:tcW w:type="dxa" w:w="3515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污染时长计算</w:t>
            </w:r>
          </w:p>
        </w:tc>
        <w:tc>
          <w:tcPr>
            <w:tcW w:type="dxa" w:w="294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剔除（占 0.02%）</w:t>
            </w:r>
          </w:p>
        </w:tc>
      </w:tr>
      <w:tr>
        <w:tc>
          <w:tcPr>
            <w:tcW w:type="dxa" w:w="2721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geolocation 重复采样</w:t>
            </w:r>
          </w:p>
        </w:tc>
        <w:tc>
          <w:tcPr>
            <w:tcW w:type="dxa" w:w="3515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100 万行仅 19,015 个邮编</w:t>
            </w:r>
          </w:p>
        </w:tc>
        <w:tc>
          <w:tcPr>
            <w:tcW w:type="dxa" w:w="2948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按邮编聚合取均值</w:t>
            </w:r>
          </w:p>
        </w:tc>
      </w:tr>
    </w:tbl>
    <w:p>
      <w:pPr>
        <w:spacing w:after="20"/>
      </w:pP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6.2  </w:t>
      </w:r>
      <w:r>
        <w:rPr>
          <w:rFonts w:ascii="微软雅黑" w:hAnsi="微软雅黑" w:eastAsia="微软雅黑"/>
          <w:b/>
          <w:color w:val="2E5C8A"/>
          <w:sz w:val="29"/>
        </w:rPr>
        <w:t>分析方法的局限</w:t>
      </w:r>
    </w:p>
    <w:p>
      <w:pPr>
        <w:pStyle w:val="ListBullet"/>
        <w:spacing w:after="60" w:line="360" w:lineRule="auto"/>
        <w:ind w:left="510"/>
      </w:pPr>
      <w:r>
        <w:rPr>
          <w:rFonts w:ascii="宋体" w:hAnsi="宋体" w:eastAsia="宋体"/>
          <w:sz w:val="23"/>
        </w:rPr>
        <w:t>因果推断有限：虽然具备时间先后、剂量反应和合理机制，但缺乏随机对照实验，严格意义上只能说"强相关 + 合理机制"，不能断言因果。</w:t>
      </w:r>
    </w:p>
    <w:p>
      <w:pPr>
        <w:pStyle w:val="ListBullet"/>
        <w:spacing w:after="60" w:line="360" w:lineRule="auto"/>
        <w:ind w:left="510"/>
      </w:pPr>
      <w:r>
        <w:rPr>
          <w:rFonts w:ascii="宋体" w:hAnsi="宋体" w:eastAsia="宋体"/>
          <w:sz w:val="23"/>
        </w:rPr>
        <w:t>R² 仅 0.17：评分为主观打分，大量未观测因素（商品质量、客服态度、包装）无法进入模型。模型适合做群体归因，不适合预测个体。</w:t>
      </w:r>
    </w:p>
    <w:p>
      <w:pPr>
        <w:pStyle w:val="ListBullet"/>
        <w:spacing w:after="60" w:line="360" w:lineRule="auto"/>
        <w:ind w:left="510"/>
      </w:pPr>
      <w:r>
        <w:rPr>
          <w:rFonts w:ascii="宋体" w:hAnsi="宋体" w:eastAsia="宋体"/>
          <w:sz w:val="23"/>
        </w:rPr>
        <w:t>未纳入卖家/品类固定效应：本报告用距离和件数等变量控制，但没有为每个卖家、每个品类加虚拟变量。加入后 R² 会提升，但会牺牲可解释性。</w:t>
      </w:r>
    </w:p>
    <w:p>
      <w:pPr>
        <w:pStyle w:val="ListBullet"/>
        <w:spacing w:after="60" w:line="360" w:lineRule="auto"/>
        <w:ind w:left="510"/>
      </w:pPr>
      <w:r>
        <w:rPr>
          <w:rFonts w:ascii="宋体" w:hAnsi="宋体" w:eastAsia="宋体"/>
          <w:sz w:val="23"/>
        </w:rPr>
        <w:t>main_category 取订单首个商品：约 1–2% 的订单品类归类不精确。</w:t>
      </w: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6.3  </w:t>
      </w:r>
      <w:r>
        <w:rPr>
          <w:rFonts w:ascii="微软雅黑" w:hAnsi="微软雅黑" w:eastAsia="微软雅黑"/>
          <w:b/>
          <w:color w:val="2E5C8A"/>
          <w:sz w:val="29"/>
        </w:rPr>
        <w:t>★ 修正记录：一个被推翻的结论</w:t>
      </w:r>
    </w:p>
    <w:p>
      <w:pPr>
        <w:spacing w:before="0" w:after="120"/>
        <w:ind w:firstLine="454"/>
      </w:pPr>
      <w:r>
        <w:rPr>
          <w:rFonts w:ascii="宋体" w:hAnsi="宋体" w:eastAsia="宋体"/>
          <w:b w:val="0"/>
          <w:i w:val="0"/>
          <w:sz w:val="23"/>
        </w:rPr>
        <w:t>这是本项目最有价值的一段，因为它体现了「分析过程中如何自我纠错」。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结论的修正过程</w:t>
      </w:r>
    </w:p>
    <w:tbl>
      <w:tblPr>
        <w:tblStyle w:val="TableGrid"/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1927"/>
        <w:gridCol w:w="3628"/>
        <w:gridCol w:w="3628"/>
      </w:tblGrid>
      <w:tr>
        <w:tc>
          <w:tcPr>
            <w:tcW w:type="dxa" w:w="1928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628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当时的结论</w:t>
            </w:r>
          </w:p>
        </w:tc>
        <w:tc>
          <w:tcPr>
            <w:tcW w:type="dxa" w:w="3628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依据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初版（单因素）</w:t>
            </w:r>
          </w:p>
        </w:tc>
        <w:tc>
          <w:tcPr>
            <w:tcW w:type="dxa" w:w="36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"卖家超期发货是最大痛点"</w:t>
            </w:r>
          </w:p>
        </w:tc>
        <w:tc>
          <w:tcPr>
            <w:tcW w:type="dxa" w:w="36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相关系数 r = −0.106，评分 3.70 vs 4.20</w:t>
            </w:r>
          </w:p>
        </w:tc>
      </w:tr>
      <w:tr>
        <w:tc>
          <w:tcPr>
            <w:tcW w:type="dxa" w:w="1928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补做多元回归后</w:t>
            </w:r>
          </w:p>
        </w:tc>
        <w:tc>
          <w:tcPr>
            <w:tcW w:type="dxa" w:w="3628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"超期发货的效应被迟到完全中介"</w:t>
            </w:r>
          </w:p>
        </w:tc>
        <w:tc>
          <w:tcPr>
            <w:tcW w:type="dxa" w:w="3628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控制迟到后 β = −0.0002（p = 0.97），OR = 1.013（p = 0.28）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最终结论</w:t>
            </w:r>
          </w:p>
        </w:tc>
        <w:tc>
          <w:tcPr>
            <w:tcW w:type="dxa" w:w="36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"真正的 KPI 是准时送达率，而非按时发货率"</w:t>
            </w:r>
          </w:p>
        </w:tc>
        <w:tc>
          <w:tcPr>
            <w:tcW w:type="dxa" w:w="362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因果路径：超期发货 → 迟到 → 差评</w:t>
            </w:r>
          </w:p>
        </w:tc>
      </w:tr>
    </w:tbl>
    <w:p>
      <w:pPr>
        <w:spacing w:after="20"/>
      </w:pPr>
    </w:p>
    <w:tbl>
      <w:tblPr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9184"/>
      </w:tblGrid>
      <w:tr>
        <w:tc>
          <w:tcPr>
            <w:tcW w:type="dxa" w:w="9184"/>
            <w:shd w:val="clear" w:color="auto" w:fill="E8F5E9"/>
            <w:tcBorders>
              <w:top w:val="single" w:sz="4" w:color="43A047"/>
              <w:left w:val="single" w:sz="20" w:color="43A047"/>
              <w:bottom w:val="single" w:sz="4" w:color="43A047"/>
              <w:right w:val="single" w:sz="4" w:color="43A047"/>
            </w:tcBorders>
          </w:tcPr>
          <w:p>
            <w:pPr>
              <w:spacing w:before="60" w:after="40"/>
            </w:pPr>
            <w:r/>
            <w:r>
              <w:rPr>
                <w:rFonts w:ascii="微软雅黑" w:hAnsi="微软雅黑" w:eastAsia="微软雅黑"/>
                <w:b/>
                <w:color w:val="1B5E20"/>
                <w:sz w:val="22"/>
              </w:rPr>
              <w:t>这个修正为什么比原结论更有价值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如果报告停在"超期发货是最大痛点"，后续建议就会写成"考核卖家发货率"，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而客户真正在意的"是否按时收到"反而被忽略。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补做多元回归后才发现：超期发货是"原因的原因"，真正的直接原因是迟到。</w:t>
            </w:r>
          </w:p>
          <w:p>
            <w:pPr>
              <w:spacing w:before="0" w:after="20" w:line="341" w:lineRule="auto"/>
            </w:pPr>
            <w:r>
              <w:rPr>
                <w:rFonts w:ascii="宋体" w:hAnsi="宋体" w:eastAsia="宋体"/>
                <w:sz w:val="21"/>
              </w:rPr>
              <w:t>这直接改变了建议的方向——从"考核发货率"改为"考核准时送达率 + 管住预估窗口"。</w:t>
            </w:r>
          </w:p>
        </w:tc>
      </w:tr>
    </w:tbl>
    <w:p>
      <w:pPr>
        <w:spacing w:after="20"/>
      </w:pP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6.4  </w:t>
      </w:r>
      <w:r>
        <w:rPr>
          <w:rFonts w:ascii="微软雅黑" w:hAnsi="微软雅黑" w:eastAsia="微软雅黑"/>
          <w:b/>
          <w:color w:val="2E5C8A"/>
          <w:sz w:val="29"/>
        </w:rPr>
        <w:t>如果重做一次</w:t>
      </w:r>
    </w:p>
    <w:p>
      <w:pPr>
        <w:pStyle w:val="ListBullet"/>
        <w:spacing w:after="60" w:line="360" w:lineRule="auto"/>
        <w:ind w:left="510"/>
      </w:pPr>
      <w:r>
        <w:rPr>
          <w:rFonts w:ascii="宋体" w:hAnsi="宋体" w:eastAsia="宋体"/>
          <w:sz w:val="23"/>
        </w:rPr>
        <w:t>一开始就把「差评率」定为核心因变量，而不是中途从「配送时长」切换——前期有一半精力花在过程指标上，最后还要换算才能比较权重。</w:t>
      </w:r>
    </w:p>
    <w:p>
      <w:pPr>
        <w:pStyle w:val="ListBullet"/>
        <w:spacing w:after="60" w:line="360" w:lineRule="auto"/>
        <w:ind w:left="510"/>
      </w:pPr>
      <w:r>
        <w:rPr>
          <w:rFonts w:ascii="宋体" w:hAnsi="宋体" w:eastAsia="宋体"/>
          <w:sz w:val="23"/>
        </w:rPr>
        <w:t>更早做多元建模。做完所有单因素分析后才补回归，才发现两个结论需要修正。如果先建模再细查，能少走弯路。</w:t>
      </w:r>
    </w:p>
    <w:p>
      <w:pPr>
        <w:pStyle w:val="ListBullet"/>
        <w:spacing w:after="60" w:line="360" w:lineRule="auto"/>
        <w:ind w:left="510"/>
      </w:pPr>
      <w:r>
        <w:rPr>
          <w:rFonts w:ascii="宋体" w:hAnsi="宋体" w:eastAsia="宋体"/>
          <w:sz w:val="23"/>
        </w:rPr>
        <w:t>对多卖家订单的异常，应该第一时间查数据字典而不是先做统计——这类「指标失效」问题，业务理解比统计方法更有效。</w:t>
      </w:r>
    </w:p>
    <w:p>
      <w:pPr>
        <w:pStyle w:val="ListBullet"/>
        <w:spacing w:after="60" w:line="360" w:lineRule="auto"/>
        <w:ind w:left="510"/>
      </w:pPr>
      <w:r>
        <w:rPr>
          <w:rFonts w:ascii="宋体" w:hAnsi="宋体" w:eastAsia="宋体"/>
          <w:sz w:val="23"/>
        </w:rPr>
        <w:t>把清洗阈值、随机种子等参数外置成配置，便于复现和敏感性分析。</w:t>
      </w:r>
    </w:p>
    <w:p>
      <w:r>
        <w:br w:type="page"/>
      </w:r>
    </w:p>
    <w:p>
      <w:pPr>
        <w:spacing w:before="400" w:after="240"/>
        <w:pBdr>
          <w:bottom w:val="single" w:sz="10" w:color="1E3A5F"/>
        </w:pBdr>
      </w:pPr>
      <w:r>
        <w:rPr>
          <w:rFonts w:ascii="微软雅黑" w:hAnsi="微软雅黑" w:eastAsia="微软雅黑"/>
          <w:b/>
          <w:color w:val="1E3A5F"/>
          <w:sz w:val="36"/>
        </w:rPr>
        <w:t xml:space="preserve">第七章  </w:t>
      </w:r>
      <w:r>
        <w:rPr>
          <w:rFonts w:ascii="微软雅黑" w:hAnsi="微软雅黑" w:eastAsia="微软雅黑"/>
          <w:b/>
          <w:color w:val="1E3A5F"/>
          <w:sz w:val="36"/>
        </w:rPr>
        <w:t>技术实现与复现</w:t>
      </w: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7.1  </w:t>
      </w:r>
      <w:r>
        <w:rPr>
          <w:rFonts w:ascii="微软雅黑" w:hAnsi="微软雅黑" w:eastAsia="微软雅黑"/>
          <w:b/>
          <w:color w:val="2E5C8A"/>
          <w:sz w:val="29"/>
        </w:rPr>
        <w:t>技术栈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技术栈</w:t>
      </w:r>
    </w:p>
    <w:tbl>
      <w:tblPr>
        <w:tblStyle w:val="TableGrid"/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1474"/>
        <w:gridCol w:w="3288"/>
        <w:gridCol w:w="4422"/>
      </w:tblGrid>
      <w:tr>
        <w:tc>
          <w:tcPr>
            <w:tcW w:type="dxa" w:w="1474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层次</w:t>
            </w:r>
          </w:p>
        </w:tc>
        <w:tc>
          <w:tcPr>
            <w:tcW w:type="dxa" w:w="3288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工具</w:t>
            </w:r>
          </w:p>
        </w:tc>
        <w:tc>
          <w:tcPr>
            <w:tcW w:type="dxa" w:w="4422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数据存储</w:t>
            </w:r>
          </w:p>
        </w:tc>
        <w:tc>
          <w:tcPr>
            <w:tcW w:type="dxa" w:w="328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PostgreSQL 18</w:t>
            </w:r>
          </w:p>
        </w:tc>
        <w:tc>
          <w:tcPr>
            <w:tcW w:type="dxa" w:w="4422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导入 9 张 CSV，建索引、外键、视图</w:t>
            </w:r>
          </w:p>
        </w:tc>
      </w:tr>
      <w:tr>
        <w:tc>
          <w:tcPr>
            <w:tcW w:type="dxa" w:w="1474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数据查询</w:t>
            </w:r>
          </w:p>
        </w:tc>
        <w:tc>
          <w:tcPr>
            <w:tcW w:type="dxa" w:w="3288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SQL（psql / VS Code）</w:t>
            </w:r>
          </w:p>
        </w:tc>
        <w:tc>
          <w:tcPr>
            <w:tcW w:type="dxa" w:w="4422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31 条分析查询，含 CTE、窗口函数、FILTER 聚合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统计分析</w:t>
            </w:r>
          </w:p>
        </w:tc>
        <w:tc>
          <w:tcPr>
            <w:tcW w:type="dxa" w:w="328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Python 3.11（pandas / SciPy / NumPy）</w:t>
            </w:r>
          </w:p>
        </w:tc>
        <w:tc>
          <w:tcPr>
            <w:tcW w:type="dxa" w:w="4422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数据清洗、相关分析、手写 OLS 推断</w:t>
            </w:r>
          </w:p>
        </w:tc>
      </w:tr>
      <w:tr>
        <w:tc>
          <w:tcPr>
            <w:tcW w:type="dxa" w:w="1474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机器学习</w:t>
            </w:r>
          </w:p>
        </w:tc>
        <w:tc>
          <w:tcPr>
            <w:tcW w:type="dxa" w:w="3288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scikit-learn</w:t>
            </w:r>
          </w:p>
        </w:tc>
        <w:tc>
          <w:tcPr>
            <w:tcW w:type="dxa" w:w="4422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Logistic 回归、随机森林、交叉验证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可视化</w:t>
            </w:r>
          </w:p>
        </w:tc>
        <w:tc>
          <w:tcPr>
            <w:tcW w:type="dxa" w:w="328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Matplotlib / Seaborn</w:t>
            </w:r>
          </w:p>
        </w:tc>
        <w:tc>
          <w:tcPr>
            <w:tcW w:type="dxa" w:w="4422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8 张统计图表</w:t>
            </w:r>
          </w:p>
        </w:tc>
      </w:tr>
      <w:tr>
        <w:tc>
          <w:tcPr>
            <w:tcW w:type="dxa" w:w="1474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BI 报表</w:t>
            </w:r>
          </w:p>
        </w:tc>
        <w:tc>
          <w:tcPr>
            <w:tcW w:type="dxa" w:w="3288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Power BI Desktop</w:t>
            </w:r>
          </w:p>
        </w:tc>
        <w:tc>
          <w:tcPr>
            <w:tcW w:type="dxa" w:w="4422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6 页交互式仪表盘</w:t>
            </w:r>
          </w:p>
        </w:tc>
      </w:tr>
      <w:tr>
        <w:tc>
          <w:tcPr>
            <w:tcW w:type="dxa" w:w="1474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文档</w:t>
            </w:r>
          </w:p>
        </w:tc>
        <w:tc>
          <w:tcPr>
            <w:tcW w:type="dxa" w:w="3288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python-docx</w:t>
            </w:r>
          </w:p>
        </w:tc>
        <w:tc>
          <w:tcPr>
            <w:tcW w:type="dxa" w:w="4422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自动生成报告（便于数据更新后重跑）</w:t>
            </w:r>
          </w:p>
        </w:tc>
      </w:tr>
    </w:tbl>
    <w:p>
      <w:pPr>
        <w:spacing w:after="20"/>
      </w:pP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7.2  </w:t>
      </w:r>
      <w:r>
        <w:rPr>
          <w:rFonts w:ascii="微软雅黑" w:hAnsi="微软雅黑" w:eastAsia="微软雅黑"/>
          <w:b/>
          <w:color w:val="2E5C8A"/>
          <w:sz w:val="29"/>
        </w:rPr>
        <w:t>仓库结构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6B7280"/>
          <w:sz w:val="19"/>
        </w:rPr>
        <w:t>▍推荐的项目结构</w:t>
      </w:r>
    </w:p>
    <w:tbl>
      <w:tblPr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9184"/>
      </w:tblGrid>
      <w:tr>
        <w:tc>
          <w:tcPr>
            <w:tcW w:type="dxa" w:w="9184"/>
            <w:shd w:val="clear" w:color="auto" w:fill="F7F8FA"/>
            <w:tcBorders>
              <w:top w:val="single" w:sz="4" w:color="E0E3E8"/>
              <w:left w:val="single" w:sz="4" w:color="E0E3E8"/>
              <w:bottom w:val="single" w:sz="4" w:color="E0E3E8"/>
              <w:right w:val="single" w:sz="4" w:color="E0E3E8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olist-review-attribution/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├── README.md                    # 项目说明与核心结论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├── sql/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│   ├── 01_create_schema.sql     # 建 schema 与表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│   ├── 02_import_data.sql       # 导入 9 个 CSV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│   ├── 03_constraints_views.sql # 外键、索引、分析视图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│   ├── 04_data_exploration.sql  # 数据探索与质量检查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│   ├── 06_factor_analysis.sql   # ★ 31 条归因查询（7 个部分）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│   └── 07_pbi_view.sql          # ★ BI 专用订单级宽表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├── python/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│   ├── stat_analysis.py         # 相关分析、效应量、卡方检验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│   ├── rigorous_model.py        # ★ OLS / Logit / 随机森林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│   └── output/                  # 8 张统计图 + 13 个结果 CSV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├── powerbi/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│   ├── olist_dashboard.pbix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│   ├── DAX_度量值与计算列.dax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│   └── screenshots/             # 6 页仪表盘截图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├── docs/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│   └── report.pdf               # 分析报告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└── .gitignore                   # 排除原始 CSV（120 MB）</w:t>
            </w:r>
          </w:p>
        </w:tc>
      </w:tr>
    </w:tbl>
    <w:p>
      <w:pPr>
        <w:spacing w:after="20"/>
      </w:pP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7.3  </w:t>
      </w:r>
      <w:r>
        <w:rPr>
          <w:rFonts w:ascii="微软雅黑" w:hAnsi="微软雅黑" w:eastAsia="微软雅黑"/>
          <w:b/>
          <w:color w:val="2E5C8A"/>
          <w:sz w:val="29"/>
        </w:rPr>
        <w:t>关键代码片段</w:t>
      </w:r>
    </w:p>
    <w:p>
      <w:pPr>
        <w:spacing w:before="0" w:after="120"/>
        <w:ind w:firstLine="454"/>
      </w:pPr>
      <w:r>
        <w:rPr>
          <w:rFonts w:ascii="宋体" w:hAnsi="宋体" w:eastAsia="宋体"/>
          <w:b w:val="0"/>
          <w:i w:val="0"/>
          <w:sz w:val="23"/>
        </w:rPr>
        <w:t>四段耗时拆解——整个分析的分诊环节，决定了后续所有分析方向：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6B7280"/>
          <w:sz w:val="19"/>
        </w:rPr>
        <w:t>▍SQL：四段耗时拆解</w:t>
      </w:r>
    </w:p>
    <w:tbl>
      <w:tblPr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9184"/>
      </w:tblGrid>
      <w:tr>
        <w:tc>
          <w:tcPr>
            <w:tcW w:type="dxa" w:w="9184"/>
            <w:shd w:val="clear" w:color="auto" w:fill="F7F8FA"/>
            <w:tcBorders>
              <w:top w:val="single" w:sz="4" w:color="E0E3E8"/>
              <w:left w:val="single" w:sz="4" w:color="E0E3E8"/>
              <w:bottom w:val="single" w:sz="4" w:color="E0E3E8"/>
              <w:right w:val="single" w:sz="4" w:color="E0E3E8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SELECT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B7A3E"/>
                <w:sz w:val="17"/>
              </w:rPr>
              <w:t xml:space="preserve">  -- ① 下单 → 审核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round(avg(EXTRACT(EPOCH FROM (order_approved_at - order_purchase_timestamp))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        / 86400)::numeric, 2) AS 下单到审核_天,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B7A3E"/>
                <w:sz w:val="17"/>
              </w:rPr>
              <w:t xml:space="preserve">  -- ② 审核 → 交给物流（= 卖家备货时间）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round(avg(EXTRACT(EPOCH FROM (order_delivered_carrier_date - order_approved_at))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        / 86400)::numeric, 2) AS 审核到发货_天,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B7A3E"/>
                <w:sz w:val="17"/>
              </w:rPr>
              <w:t xml:space="preserve">  -- ③ 交给物流 → 客户签收（= 运输时间）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round(avg(EXTRACT(EPOCH FROM (order_delivered_customer_date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        - order_delivered_carrier_date)) / 86400)::numeric, 2) AS 发货到签收_天,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count(*) AS 样本数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FROM olist.orders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B7A3E"/>
                <w:sz w:val="17"/>
              </w:rPr>
              <w:t>-- 过滤三个时间戳都非空：否则各列分母不同，四段加起来对不上全程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WHERE order_delivered_customer_date IS NOT NULL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AND order_approved_at IS NOT NULL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AND order_delivered_carrier_date IS NOT NULL;</w:t>
            </w:r>
          </w:p>
        </w:tc>
      </w:tr>
    </w:tbl>
    <w:p>
      <w:pPr>
        <w:spacing w:after="20"/>
      </w:pPr>
    </w:p>
    <w:p>
      <w:pPr>
        <w:spacing w:before="0" w:after="120"/>
        <w:ind w:firstLine="454"/>
      </w:pPr>
      <w:r>
        <w:rPr>
          <w:rFonts w:ascii="宋体" w:hAnsi="宋体" w:eastAsia="宋体"/>
          <w:b w:val="0"/>
          <w:i w:val="0"/>
          <w:sz w:val="23"/>
        </w:rPr>
        <w:t>手写 OLS 完整统计推断（不依赖 statsmodels，便于理解每一步）：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6B7280"/>
          <w:sz w:val="19"/>
        </w:rPr>
        <w:t>▍Python：手写 OLS 推断（系数/标准误/t 值/p 值/R²）</w:t>
      </w:r>
    </w:p>
    <w:tbl>
      <w:tblPr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9184"/>
      </w:tblGrid>
      <w:tr>
        <w:tc>
          <w:tcPr>
            <w:tcW w:type="dxa" w:w="9184"/>
            <w:shd w:val="clear" w:color="auto" w:fill="F7F8FA"/>
            <w:tcBorders>
              <w:top w:val="single" w:sz="4" w:color="E0E3E8"/>
              <w:left w:val="single" w:sz="4" w:color="E0E3E8"/>
              <w:bottom w:val="single" w:sz="4" w:color="E0E3E8"/>
              <w:right w:val="single" w:sz="4" w:color="E0E3E8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def ols(y, X, names):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"""最小二乘 + 完整统计推断。X 为设计矩阵（不含常数项）。"""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n = len(y)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Xd = np.column_stack([np.ones(n), X])       # 加截距项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beta, *_ = np.linalg.lstsq(Xd, y, rcond=None)  # β = (X'X)^-1 X'y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resid = y - Xd @ beta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k = Xd.shape[1]; dof = n - k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sigma2 = resid @ resid / dof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XtX_inv = np.linalg.pinv(Xd.T @ Xd)         # 伪逆，防共线性奇异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se = np.sqrt(np.diag(XtX_inv) * sigma2)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tval = beta / se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pval = 2 * (1 - stats.t.cdf(np.abs(tval), dof))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r2 = 1 - (resid @ resid) / ((y - y.mean()) ** 2).sum()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adj_r2 = 1 - (1 - r2) * (n - 1) / dof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 xml:space="preserve">    return dict(beta=beta, se=se, t=tval, p=pval, r2=r2, adj_r2=adj_r2)</w:t>
            </w:r>
          </w:p>
        </w:tc>
      </w:tr>
    </w:tbl>
    <w:p>
      <w:pPr>
        <w:spacing w:after="20"/>
      </w:pP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7.4  </w:t>
      </w:r>
      <w:r>
        <w:rPr>
          <w:rFonts w:ascii="微软雅黑" w:hAnsi="微软雅黑" w:eastAsia="微软雅黑"/>
          <w:b/>
          <w:color w:val="2E5C8A"/>
          <w:sz w:val="29"/>
        </w:rPr>
        <w:t>复现步骤</w:t>
      </w:r>
    </w:p>
    <w:p>
      <w:pPr>
        <w:spacing w:before="0" w:after="40"/>
      </w:pPr>
      <w:r>
        <w:rPr>
          <w:rFonts w:ascii="宋体" w:hAnsi="宋体" w:eastAsia="宋体"/>
          <w:b/>
          <w:i w:val="0"/>
          <w:sz w:val="23"/>
        </w:rPr>
        <w:t>1. 准备环境</w:t>
      </w:r>
    </w:p>
    <w:p>
      <w:pPr>
        <w:pStyle w:val="ListBullet"/>
        <w:spacing w:after="60" w:line="360" w:lineRule="auto"/>
        <w:ind w:left="510"/>
      </w:pPr>
      <w:r>
        <w:rPr>
          <w:rFonts w:ascii="宋体" w:hAnsi="宋体" w:eastAsia="宋体"/>
          <w:sz w:val="23"/>
        </w:rPr>
        <w:t>安装 PostgreSQL 18，创建数据库 analysis</w:t>
      </w:r>
    </w:p>
    <w:p>
      <w:pPr>
        <w:pStyle w:val="ListBullet"/>
        <w:spacing w:after="60" w:line="360" w:lineRule="auto"/>
        <w:ind w:left="510"/>
      </w:pPr>
      <w:r>
        <w:rPr>
          <w:rFonts w:ascii="宋体" w:hAnsi="宋体" w:eastAsia="宋体"/>
          <w:sz w:val="23"/>
        </w:rPr>
        <w:t>Python 3.11 + pip install pandas numpy scipy scikit-learn matplotlib seaborn sqlalchemy psycopg2-binary python-docx</w:t>
      </w:r>
    </w:p>
    <w:p>
      <w:pPr>
        <w:spacing w:before="160" w:after="40"/>
      </w:pPr>
      <w:r>
        <w:rPr>
          <w:rFonts w:ascii="宋体" w:hAnsi="宋体" w:eastAsia="宋体"/>
          <w:b/>
          <w:i w:val="0"/>
          <w:sz w:val="23"/>
        </w:rPr>
        <w:t>2. 下载数据</w:t>
      </w:r>
    </w:p>
    <w:p>
      <w:pPr>
        <w:pStyle w:val="ListBullet"/>
        <w:spacing w:after="60" w:line="360" w:lineRule="auto"/>
        <w:ind w:left="510"/>
      </w:pPr>
      <w:r>
        <w:rPr>
          <w:rFonts w:ascii="宋体" w:hAnsi="宋体" w:eastAsia="宋体"/>
          <w:sz w:val="23"/>
        </w:rPr>
        <w:t>从 Kaggle 下载 Olist Brazilian E-Commerce Public Dataset（9 个 CSV）</w:t>
      </w:r>
    </w:p>
    <w:p>
      <w:pPr>
        <w:pStyle w:val="ListBullet"/>
        <w:spacing w:after="60" w:line="360" w:lineRule="auto"/>
        <w:ind w:left="510"/>
      </w:pPr>
      <w:r>
        <w:rPr>
          <w:rFonts w:ascii="宋体" w:hAnsi="宋体" w:eastAsia="宋体"/>
          <w:sz w:val="23"/>
        </w:rPr>
        <w:t>放到项目 data/ 目录（该目录已加入 .gitignore，不进仓库）</w:t>
      </w:r>
    </w:p>
    <w:p>
      <w:pPr>
        <w:spacing w:before="160" w:after="40"/>
      </w:pPr>
      <w:r>
        <w:rPr>
          <w:rFonts w:ascii="宋体" w:hAnsi="宋体" w:eastAsia="宋体"/>
          <w:b/>
          <w:i w:val="0"/>
          <w:sz w:val="23"/>
        </w:rPr>
        <w:t>3. 建库导入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6B7280"/>
          <w:sz w:val="19"/>
        </w:rPr>
        <w:t>▍命令行导入</w:t>
      </w:r>
    </w:p>
    <w:tbl>
      <w:tblPr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9184"/>
      </w:tblGrid>
      <w:tr>
        <w:tc>
          <w:tcPr>
            <w:tcW w:type="dxa" w:w="9184"/>
            <w:shd w:val="clear" w:color="auto" w:fill="F7F8FA"/>
            <w:tcBorders>
              <w:top w:val="single" w:sz="4" w:color="E0E3E8"/>
              <w:left w:val="single" w:sz="4" w:color="E0E3E8"/>
              <w:bottom w:val="single" w:sz="4" w:color="E0E3E8"/>
              <w:right w:val="single" w:sz="4" w:color="E0E3E8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psql -h 127.0.0.1 -U postgres -d analysis -f sql/01_create_schema.sql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psql -h 127.0.0.1 -U postgres -d analysis -f sql/02_import_data.sql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psql -h 127.0.0.1 -U postgres -d analysis -f sql/03_constraints_views.sql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psql -h 127.0.0.1 -U postgres -d analysis -f sql/07_pbi_view.sql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rFonts w:ascii="宋体" w:hAnsi="宋体" w:eastAsia="宋体"/>
          <w:b/>
          <w:i w:val="0"/>
          <w:sz w:val="23"/>
        </w:rPr>
        <w:t>4. 跑分析</w:t>
      </w:r>
    </w:p>
    <w:p>
      <w:pPr>
        <w:spacing w:before="160" w:after="40"/>
      </w:pPr>
      <w:r>
        <w:rPr>
          <w:rFonts w:ascii="微软雅黑" w:hAnsi="微软雅黑" w:eastAsia="微软雅黑"/>
          <w:b/>
          <w:color w:val="6B7280"/>
          <w:sz w:val="19"/>
        </w:rPr>
        <w:t>▍运行分析脚本</w:t>
      </w:r>
    </w:p>
    <w:tbl>
      <w:tblPr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9184"/>
      </w:tblGrid>
      <w:tr>
        <w:tc>
          <w:tcPr>
            <w:tcW w:type="dxa" w:w="9184"/>
            <w:shd w:val="clear" w:color="auto" w:fill="F7F8FA"/>
            <w:tcBorders>
              <w:top w:val="single" w:sz="4" w:color="E0E3E8"/>
              <w:left w:val="single" w:sz="4" w:color="E0E3E8"/>
              <w:bottom w:val="single" w:sz="4" w:color="E0E3E8"/>
              <w:right w:val="single" w:sz="4" w:color="E0E3E8"/>
            </w:tcBorders>
          </w:tcPr>
          <w:p>
            <w:pPr>
              <w:spacing w:before="0" w:after="0" w:line="269" w:lineRule="auto"/>
            </w:pPr>
            <w:r/>
            <w:r>
              <w:rPr>
                <w:rFonts w:ascii="Consolas" w:hAnsi="Consolas" w:eastAsia="Consolas"/>
                <w:color w:val="1F2937"/>
                <w:sz w:val="17"/>
              </w:rPr>
              <w:t>python python/stat_analysis.py     # 相关分析 → 5 张图 + 7 个 CSV</w:t>
            </w:r>
          </w:p>
          <w:p>
            <w:pPr>
              <w:spacing w:before="0" w:after="0" w:line="269" w:lineRule="auto"/>
            </w:pPr>
            <w:r>
              <w:rPr>
                <w:rFonts w:ascii="Consolas" w:hAnsi="Consolas" w:eastAsia="Consolas"/>
                <w:color w:val="1F2937"/>
                <w:sz w:val="17"/>
              </w:rPr>
              <w:t>python python/rigorous_model.py     # 多元建模 → 3 张图 + 6 个 CSV</w:t>
            </w:r>
          </w:p>
        </w:tc>
      </w:tr>
    </w:tbl>
    <w:p>
      <w:pPr>
        <w:spacing w:after="20"/>
      </w:pPr>
    </w:p>
    <w:p>
      <w:pPr>
        <w:spacing w:before="160" w:after="40"/>
      </w:pPr>
      <w:r>
        <w:rPr>
          <w:rFonts w:ascii="宋体" w:hAnsi="宋体" w:eastAsia="宋体"/>
          <w:b/>
          <w:i w:val="0"/>
          <w:sz w:val="23"/>
        </w:rPr>
        <w:t>5. 打开仪表盘</w:t>
      </w:r>
    </w:p>
    <w:p>
      <w:pPr>
        <w:pStyle w:val="ListBullet"/>
        <w:spacing w:after="60" w:line="360" w:lineRule="auto"/>
        <w:ind w:left="510"/>
      </w:pPr>
      <w:r>
        <w:rPr>
          <w:rFonts w:ascii="宋体" w:hAnsi="宋体" w:eastAsia="宋体"/>
          <w:sz w:val="23"/>
        </w:rPr>
        <w:t>用 Power BI Desktop 打开 powerbi/olist_dashboard.pbix</w:t>
      </w:r>
    </w:p>
    <w:p>
      <w:pPr>
        <w:pStyle w:val="ListBullet"/>
        <w:spacing w:after="60" w:line="360" w:lineRule="auto"/>
        <w:ind w:left="510"/>
      </w:pPr>
      <w:r>
        <w:rPr>
          <w:rFonts w:ascii="宋体" w:hAnsi="宋体" w:eastAsia="宋体"/>
          <w:sz w:val="23"/>
        </w:rPr>
        <w:t>数据源指向本地 PostgreSQL 的 analysis 库（连接信息见 DAX 文件头部）</w:t>
      </w:r>
    </w:p>
    <w:p>
      <w:r>
        <w:br w:type="page"/>
      </w:r>
    </w:p>
    <w:p>
      <w:pPr>
        <w:spacing w:before="400" w:after="240"/>
        <w:pBdr>
          <w:bottom w:val="single" w:sz="10" w:color="1E3A5F"/>
        </w:pBdr>
      </w:pPr>
      <w:r>
        <w:rPr>
          <w:rFonts w:ascii="微软雅黑" w:hAnsi="微软雅黑" w:eastAsia="微软雅黑"/>
          <w:b/>
          <w:color w:val="1E3A5F"/>
          <w:sz w:val="36"/>
        </w:rPr>
        <w:t>附录</w:t>
      </w: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A.1  </w:t>
      </w:r>
      <w:r>
        <w:rPr>
          <w:rFonts w:ascii="微软雅黑" w:hAnsi="微软雅黑" w:eastAsia="微软雅黑"/>
          <w:b/>
          <w:color w:val="2E5C8A"/>
          <w:sz w:val="29"/>
        </w:rPr>
        <w:t>A. 31 条分析查询的结构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SQL 文件结构（全部逐条验证通过）</w:t>
      </w:r>
    </w:p>
    <w:tbl>
      <w:tblPr>
        <w:tblStyle w:val="TableGrid"/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1680"/>
        <w:gridCol w:w="5264"/>
        <w:gridCol w:w="2240"/>
      </w:tblGrid>
      <w:tr>
        <w:tc>
          <w:tcPr>
            <w:tcW w:type="dxa" w:w="1680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部分</w:t>
            </w:r>
          </w:p>
        </w:tc>
        <w:tc>
          <w:tcPr>
            <w:tcW w:type="dxa" w:w="5264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2240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条数</w:t>
            </w:r>
          </w:p>
        </w:tc>
      </w:tr>
      <w:tr>
        <w:tc>
          <w:tcPr>
            <w:tcW w:type="dxa" w:w="168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第 0 部分</w:t>
            </w:r>
          </w:p>
        </w:tc>
        <w:tc>
          <w:tcPr>
            <w:tcW w:type="dxa" w:w="526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基础信息与差评率基线</w:t>
            </w:r>
          </w:p>
        </w:tc>
        <w:tc>
          <w:tcPr>
            <w:tcW w:type="dxa" w:w="2240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</w:tr>
      <w:tr>
        <w:tc>
          <w:tcPr>
            <w:tcW w:type="dxa" w:w="1680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第 1 部分</w:t>
            </w:r>
          </w:p>
        </w:tc>
        <w:tc>
          <w:tcPr>
            <w:tcW w:type="dxa" w:w="5264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流程拆解（定位瓶颈）</w:t>
            </w:r>
          </w:p>
        </w:tc>
        <w:tc>
          <w:tcPr>
            <w:tcW w:type="dxa" w:w="2240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</w:tr>
      <w:tr>
        <w:tc>
          <w:tcPr>
            <w:tcW w:type="dxa" w:w="168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第 2 部分</w:t>
            </w:r>
          </w:p>
        </w:tc>
        <w:tc>
          <w:tcPr>
            <w:tcW w:type="dxa" w:w="526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地理因素</w:t>
            </w:r>
          </w:p>
        </w:tc>
        <w:tc>
          <w:tcPr>
            <w:tcW w:type="dxa" w:w="2240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</w:tr>
      <w:tr>
        <w:tc>
          <w:tcPr>
            <w:tcW w:type="dxa" w:w="1680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第 3 部分</w:t>
            </w:r>
          </w:p>
        </w:tc>
        <w:tc>
          <w:tcPr>
            <w:tcW w:type="dxa" w:w="5264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卖家因素（备货 + 违约）</w:t>
            </w:r>
          </w:p>
        </w:tc>
        <w:tc>
          <w:tcPr>
            <w:tcW w:type="dxa" w:w="2240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</w:tr>
      <w:tr>
        <w:tc>
          <w:tcPr>
            <w:tcW w:type="dxa" w:w="168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第 4 部分</w:t>
            </w:r>
          </w:p>
        </w:tc>
        <w:tc>
          <w:tcPr>
            <w:tcW w:type="dxa" w:w="526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商品因素（品类/重量/件数）</w:t>
            </w:r>
          </w:p>
        </w:tc>
        <w:tc>
          <w:tcPr>
            <w:tcW w:type="dxa" w:w="2240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</w:tr>
      <w:tr>
        <w:tc>
          <w:tcPr>
            <w:tcW w:type="dxa" w:w="1680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第 5 部分</w:t>
            </w:r>
          </w:p>
        </w:tc>
        <w:tc>
          <w:tcPr>
            <w:tcW w:type="dxa" w:w="5264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时间因素（趋势/旺季/异常）</w:t>
            </w:r>
          </w:p>
        </w:tc>
        <w:tc>
          <w:tcPr>
            <w:tcW w:type="dxa" w:w="2240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5</w:t>
            </w:r>
          </w:p>
        </w:tc>
      </w:tr>
      <w:tr>
        <w:tc>
          <w:tcPr>
            <w:tcW w:type="dxa" w:w="168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第 6 部分</w:t>
            </w:r>
          </w:p>
        </w:tc>
        <w:tc>
          <w:tcPr>
            <w:tcW w:type="dxa" w:w="526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汇总对比：各因素影响权重</w:t>
            </w:r>
          </w:p>
        </w:tc>
        <w:tc>
          <w:tcPr>
            <w:tcW w:type="dxa" w:w="2240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3</w:t>
            </w:r>
          </w:p>
        </w:tc>
      </w:tr>
      <w:tr>
        <w:tc>
          <w:tcPr>
            <w:tcW w:type="dxa" w:w="1680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第 7 部分</w:t>
            </w:r>
          </w:p>
        </w:tc>
        <w:tc>
          <w:tcPr>
            <w:tcW w:type="dxa" w:w="5264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数据质量与局限</w:t>
            </w:r>
          </w:p>
        </w:tc>
        <w:tc>
          <w:tcPr>
            <w:tcW w:type="dxa" w:w="2240"/>
            <w:shd w:val="clear" w:color="auto" w:fill="F7F9FB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4</w:t>
            </w:r>
          </w:p>
        </w:tc>
      </w:tr>
      <w:tr>
        <w:tc>
          <w:tcPr>
            <w:tcW w:type="dxa" w:w="1680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合计</w:t>
            </w:r>
          </w:p>
        </w:tc>
        <w:tc>
          <w:tcPr>
            <w:tcW w:type="dxa" w:w="5264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—</w:t>
            </w:r>
          </w:p>
        </w:tc>
        <w:tc>
          <w:tcPr>
            <w:tcW w:type="dxa" w:w="2240"/>
          </w:tcPr>
          <w:p>
            <w:pPr>
              <w:spacing w:before="30" w:after="30" w:line="276" w:lineRule="auto"/>
              <w:jc w:val="right"/>
            </w:pPr>
            <w:r/>
            <w:r>
              <w:rPr>
                <w:rFonts w:ascii="宋体" w:hAnsi="宋体" w:eastAsia="宋体"/>
                <w:sz w:val="19"/>
              </w:rPr>
              <w:t>31</w:t>
            </w:r>
          </w:p>
        </w:tc>
      </w:tr>
    </w:tbl>
    <w:p>
      <w:pPr>
        <w:spacing w:after="20"/>
      </w:pP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B.1  </w:t>
      </w:r>
      <w:r>
        <w:rPr>
          <w:rFonts w:ascii="微软雅黑" w:hAnsi="微软雅黑" w:eastAsia="微软雅黑"/>
          <w:b/>
          <w:color w:val="2E5C8A"/>
          <w:sz w:val="29"/>
        </w:rPr>
        <w:t>B. 关键数字速查</w:t>
      </w:r>
    </w:p>
    <w:p>
      <w:pPr>
        <w:spacing w:before="160" w:after="60"/>
      </w:pPr>
      <w:r>
        <w:rPr>
          <w:rFonts w:ascii="微软雅黑" w:hAnsi="微软雅黑" w:eastAsia="微软雅黑"/>
          <w:b/>
          <w:color w:val="6B7280"/>
          <w:sz w:val="19"/>
        </w:rPr>
        <w:t>表  报告中出现的关键数字</w:t>
      </w:r>
    </w:p>
    <w:tbl>
      <w:tblPr>
        <w:tblStyle w:val="TableGrid"/>
        <w:jc w:val="center"/>
        <w:tblLook w:firstColumn="1" w:firstRow="1" w:lastColumn="0" w:lastRow="0" w:noHBand="0" w:noVBand="1" w:val="04A0"/>
        <w:tblW w:w="9184" w:type="dxa"/>
        <w:tblLayout w:type="fixed"/>
      </w:tblPr>
      <w:tblGrid>
        <w:gridCol w:w="3061"/>
        <w:gridCol w:w="6122"/>
      </w:tblGrid>
      <w:tr>
        <w:tc>
          <w:tcPr>
            <w:tcW w:type="dxa" w:w="3061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数字</w:t>
            </w:r>
          </w:p>
        </w:tc>
        <w:tc>
          <w:tcPr>
            <w:tcW w:type="dxa" w:w="6123"/>
            <w:shd w:val="clear" w:color="auto" w:fill="1E3A5F"/>
          </w:tcPr>
          <w:p>
            <w:pPr>
              <w:spacing w:before="40" w:after="40"/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99,441 / 1,550,922</w:t>
            </w:r>
          </w:p>
        </w:tc>
        <w:tc>
          <w:tcPr>
            <w:tcW w:type="dxa" w:w="612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订单数 / 总行数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14.63%</w:t>
            </w:r>
          </w:p>
        </w:tc>
        <w:tc>
          <w:tcPr>
            <w:tcW w:type="dxa" w:w="6123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差评率基线（1-2 星占比）</w:t>
            </w:r>
          </w:p>
        </w:tc>
      </w:tr>
      <w:tr>
        <w:tc>
          <w:tcPr>
            <w:tcW w:type="dxa" w:w="30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12.56 天</w:t>
            </w:r>
          </w:p>
        </w:tc>
        <w:tc>
          <w:tcPr>
            <w:tcW w:type="dxa" w:w="612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平均全程配送时长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0.43 / 2.81 / 9.33 天</w:t>
            </w:r>
          </w:p>
        </w:tc>
        <w:tc>
          <w:tcPr>
            <w:tcW w:type="dxa" w:w="6123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审核 / 备货 / 运输 三段耗时</w:t>
            </w:r>
          </w:p>
        </w:tc>
      </w:tr>
      <w:tr>
        <w:tc>
          <w:tcPr>
            <w:tcW w:type="dxa" w:w="30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74.23%</w:t>
            </w:r>
          </w:p>
        </w:tc>
        <w:tc>
          <w:tcPr>
            <w:tcW w:type="dxa" w:w="612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运输环节占全程比例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53.94% vs 9.18%</w:t>
            </w:r>
          </w:p>
        </w:tc>
        <w:tc>
          <w:tcPr>
            <w:tcW w:type="dxa" w:w="6123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迟到 vs 准时 的差评率</w:t>
            </w:r>
          </w:p>
        </w:tc>
      </w:tr>
      <w:tr>
        <w:tc>
          <w:tcPr>
            <w:tcW w:type="dxa" w:w="30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52.77% vs 8.79%</w:t>
            </w:r>
          </w:p>
        </w:tc>
        <w:tc>
          <w:tcPr>
            <w:tcW w:type="dxa" w:w="612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已超期 vs 未超期 的差评率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23.69% vs 11.68%</w:t>
            </w:r>
          </w:p>
        </w:tc>
        <w:tc>
          <w:tcPr>
            <w:tcW w:type="dxa" w:w="6123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超期发货 vs 按期发货 的差评率</w:t>
            </w:r>
          </w:p>
        </w:tc>
      </w:tr>
      <w:tr>
        <w:tc>
          <w:tcPr>
            <w:tcW w:type="dxa" w:w="30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14.07% vs 10.43%</w:t>
            </w:r>
          </w:p>
        </w:tc>
        <w:tc>
          <w:tcPr>
            <w:tcW w:type="dxa" w:w="612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跨州 vs 同州 的差评率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9.06%</w:t>
            </w:r>
          </w:p>
        </w:tc>
        <w:tc>
          <w:tcPr>
            <w:tcW w:type="dxa" w:w="6123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卖家超期发货率</w:t>
            </w:r>
          </w:p>
        </w:tc>
      </w:tr>
      <w:tr>
        <w:tc>
          <w:tcPr>
            <w:tcW w:type="dxa" w:w="30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8.11%</w:t>
            </w:r>
          </w:p>
        </w:tc>
        <w:tc>
          <w:tcPr>
            <w:tcW w:type="dxa" w:w="612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迟到率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−1.41</w:t>
            </w:r>
          </w:p>
        </w:tc>
        <w:tc>
          <w:tcPr>
            <w:tcW w:type="dxa" w:w="6123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「是否迟到」的 Cohen's d</w:t>
            </w:r>
          </w:p>
        </w:tc>
      </w:tr>
      <w:tr>
        <w:tc>
          <w:tcPr>
            <w:tcW w:type="dxa" w:w="3061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0.1695 / 0.1518 / 0.744</w:t>
            </w:r>
          </w:p>
        </w:tc>
        <w:tc>
          <w:tcPr>
            <w:tcW w:type="dxa" w:w="6123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OLS R² / Logit 伪 R² / RF AUC</w:t>
            </w:r>
          </w:p>
        </w:tc>
      </w:tr>
      <w:tr>
        <w:tc>
          <w:tcPr>
            <w:tcW w:type="dxa" w:w="3061"/>
            <w:shd w:val="clear" w:color="auto" w:fill="F7F9FB"/>
          </w:tcPr>
          <w:p>
            <w:pPr>
              <w:spacing w:before="30" w:after="30" w:line="276" w:lineRule="auto"/>
              <w:jc w:val="left"/>
            </w:pPr>
            <w:r/>
            <w:r>
              <w:rPr>
                <w:rFonts w:ascii="宋体" w:hAnsi="宋体" w:eastAsia="宋体"/>
                <w:sz w:val="19"/>
              </w:rPr>
              <w:t>93,047 / 10 维</w:t>
            </w:r>
          </w:p>
        </w:tc>
        <w:tc>
          <w:tcPr>
            <w:tcW w:type="dxa" w:w="6123"/>
            <w:shd w:val="clear" w:color="auto" w:fill="F7F9FB"/>
          </w:tcPr>
          <w:p>
            <w:pPr>
              <w:spacing w:before="30" w:after="30" w:line="276" w:lineRule="auto"/>
              <w:jc w:val="center"/>
            </w:pPr>
            <w:r/>
            <w:r>
              <w:rPr>
                <w:rFonts w:ascii="宋体" w:hAnsi="宋体" w:eastAsia="宋体"/>
                <w:sz w:val="19"/>
              </w:rPr>
              <w:t>建模样本 / 特征数</w:t>
            </w:r>
          </w:p>
        </w:tc>
      </w:tr>
    </w:tbl>
    <w:p>
      <w:pPr>
        <w:spacing w:after="20"/>
      </w:pPr>
    </w:p>
    <w:p>
      <w:pPr>
        <w:spacing w:before="300" w:after="140"/>
      </w:pPr>
      <w:r>
        <w:rPr>
          <w:rFonts w:ascii="微软雅黑" w:hAnsi="微软雅黑" w:eastAsia="微软雅黑"/>
          <w:b/>
          <w:color w:val="2E5C8A"/>
          <w:sz w:val="29"/>
        </w:rPr>
        <w:t xml:space="preserve">C.1  </w:t>
      </w:r>
      <w:r>
        <w:rPr>
          <w:rFonts w:ascii="微软雅黑" w:hAnsi="微软雅黑" w:eastAsia="微软雅黑"/>
          <w:b/>
          <w:color w:val="2E5C8A"/>
          <w:sz w:val="29"/>
        </w:rPr>
        <w:t>C. 数据来源与许可</w:t>
      </w:r>
    </w:p>
    <w:p>
      <w:pPr>
        <w:spacing w:before="0" w:after="120"/>
        <w:ind w:firstLine="454"/>
      </w:pPr>
      <w:r>
        <w:rPr>
          <w:rFonts w:ascii="宋体" w:hAnsi="宋体" w:eastAsia="宋体"/>
          <w:b w:val="0"/>
          <w:i w:val="0"/>
          <w:sz w:val="23"/>
        </w:rPr>
        <w:t>数据来自 Olist 巴西电商平台公开数据集（Kaggle），采用 CC BY-NC-SA 4.0 许可。本仓库仅包含分析代码与结果，不含原始数据文件。数据集地址：https://www.kaggle.com/datasets/olistbr/brazilian-ecommerce</w:t>
      </w:r>
    </w:p>
    <w:p>
      <w:pPr>
        <w:spacing w:before="0" w:after="120"/>
      </w:pPr>
    </w:p>
    <w:p>
      <w:pPr>
        <w:spacing w:before="200"/>
        <w:jc w:val="center"/>
      </w:pPr>
      <w:r>
        <w:rPr>
          <w:rFonts w:ascii="微软雅黑" w:hAnsi="微软雅黑" w:eastAsia="微软雅黑"/>
          <w:b/>
          <w:color w:val="9CA3AF"/>
          <w:sz w:val="22"/>
        </w:rPr>
        <w:t>— 报告完 —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20"/>
    </w:pPr>
    <w:rPr>
      <w:rFonts w:ascii="宋体" w:hAnsi="宋体" w:eastAsia="宋体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