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B74686" w14:textId="768CBD4A" w:rsidR="7715EDC0" w:rsidRDefault="7715EDC0" w:rsidP="7715EDC0">
      <w:pPr>
        <w:pStyle w:val="Title"/>
      </w:pPr>
      <w:r>
        <w:t>Industrial Chemicals Harmonisation Board</w:t>
      </w:r>
    </w:p>
    <w:p w14:paraId="2B84E37B" w14:textId="428A325A" w:rsidR="7715EDC0" w:rsidRDefault="7715EDC0">
      <w:r w:rsidRPr="7715EDC0">
        <w:rPr>
          <w:b/>
          <w:bCs/>
          <w:color w:val="5C2A1F"/>
          <w:sz w:val="28"/>
          <w:szCs w:val="28"/>
        </w:rPr>
        <w:t>Technical Bulletin ICHB/TB/2026-07 — Restricted Substances Schedule, Revision 7</w:t>
      </w:r>
    </w:p>
    <w:p w14:paraId="6FF0F844" w14:textId="26BE21F7" w:rsidR="7715EDC0" w:rsidRDefault="7715EDC0">
      <w:r w:rsidRPr="7715EDC0">
        <w:rPr>
          <w:i/>
          <w:iCs/>
          <w:color w:val="61524A"/>
        </w:rPr>
        <w:t xml:space="preserve">Issued 3 September </w:t>
      </w:r>
      <w:proofErr w:type="gramStart"/>
      <w:r w:rsidRPr="7715EDC0">
        <w:rPr>
          <w:i/>
          <w:iCs/>
          <w:color w:val="61524A"/>
        </w:rPr>
        <w:t>2026  |</w:t>
      </w:r>
      <w:proofErr w:type="gramEnd"/>
      <w:r w:rsidRPr="7715EDC0">
        <w:rPr>
          <w:i/>
          <w:iCs/>
          <w:color w:val="61524A"/>
        </w:rPr>
        <w:t xml:space="preserve">  Effective 1 April </w:t>
      </w:r>
      <w:proofErr w:type="gramStart"/>
      <w:r w:rsidRPr="7715EDC0">
        <w:rPr>
          <w:i/>
          <w:iCs/>
          <w:color w:val="61524A"/>
        </w:rPr>
        <w:t>2027  |</w:t>
      </w:r>
      <w:proofErr w:type="gramEnd"/>
      <w:r w:rsidRPr="7715EDC0">
        <w:rPr>
          <w:i/>
          <w:iCs/>
          <w:color w:val="61524A"/>
        </w:rPr>
        <w:t xml:space="preserve">  Supersedes Revision 6 of 14 January 2024</w:t>
      </w:r>
    </w:p>
    <w:p w14:paraId="1CC9621D" w14:textId="3434208C" w:rsidR="7715EDC0" w:rsidRDefault="7715EDC0">
      <w:r w:rsidRPr="7715EDC0">
        <w:rPr>
          <w:b/>
          <w:bCs/>
          <w:color w:val="1C1C9B"/>
        </w:rPr>
        <w:t>TRAINING SAMPLE — FICTIONAL. The Industrial Chemicals Harmonisation Board does not exist. This bulletin, its substances, reference codes, thresholds and provisions are invented content created for a Microsoft 365 Copilot enablement session. It is not a real regulation, it is not ITW material, and nothing in it may be used for any regulatory, compliance or business decision.</w:t>
      </w:r>
    </w:p>
    <w:p w14:paraId="5EA7F71A" w14:textId="7DAB00A1" w:rsidR="7715EDC0" w:rsidRDefault="7715EDC0" w:rsidP="7715EDC0">
      <w:pPr>
        <w:pStyle w:val="Heading1"/>
      </w:pPr>
      <w:r w:rsidRPr="7715EDC0">
        <w:rPr>
          <w:color w:val="5C2A1F"/>
        </w:rPr>
        <w:t>1. Purpose and scope</w:t>
      </w:r>
    </w:p>
    <w:p w14:paraId="5283166A" w14:textId="7025A2F9" w:rsidR="7715EDC0" w:rsidRDefault="7715EDC0">
      <w:r>
        <w:t xml:space="preserve">Revision 7 of the Restricted Substances Schedule lowers the permitted concentration of six substances in industrial formulations placed on the market within member territories. The revision follows the Board's 2025 review of </w:t>
      </w:r>
      <w:proofErr w:type="gramStart"/>
      <w:r>
        <w:t>reprotoxic</w:t>
      </w:r>
      <w:proofErr w:type="gramEnd"/>
      <w:r>
        <w:t xml:space="preserve"> and persistent substances and the consultation closed on 30 June 2026.</w:t>
      </w:r>
    </w:p>
    <w:p w14:paraId="2938028F" w14:textId="5D704ABD" w:rsidR="7715EDC0" w:rsidRDefault="7715EDC0">
      <w:r>
        <w:t>This bulletin applies to manufacturers, formulators and importers of adhesives, sealants, lubricants, coatings and winter and de-icer fluids. It does not apply to substances supplied for research use in quantities below one kilogram per year, nor to articles from which the substance cannot be released under normal or reasonably foreseeable conditions of use.</w:t>
      </w:r>
    </w:p>
    <w:p w14:paraId="3ED83EAA" w14:textId="437E1D6F" w:rsidR="7715EDC0" w:rsidRDefault="7715EDC0" w:rsidP="7715EDC0">
      <w:pPr>
        <w:pStyle w:val="Heading1"/>
      </w:pPr>
      <w:r w:rsidRPr="7715EDC0">
        <w:rPr>
          <w:color w:val="5C2A1F"/>
        </w:rPr>
        <w:t>2. Amended concentration limits</w:t>
      </w:r>
    </w:p>
    <w:p w14:paraId="68586BAE" w14:textId="3EEC4F6B" w:rsidR="7715EDC0" w:rsidRDefault="7715EDC0">
      <w:r>
        <w:t>The following limits replace those in Revision 6 with effect from 1 April 2027. Concentrations are expressed as percentage by weight.</w:t>
      </w:r>
    </w:p>
    <w:tbl>
      <w:tblPr>
        <w:tblStyle w:val="TableGrid"/>
        <w:tblW w:w="0" w:type="auto"/>
        <w:tblLook w:val="0000" w:firstRow="0" w:lastRow="0" w:firstColumn="0" w:lastColumn="0" w:noHBand="0" w:noVBand="0"/>
      </w:tblPr>
      <w:tblGrid>
        <w:gridCol w:w="1830"/>
        <w:gridCol w:w="1731"/>
        <w:gridCol w:w="1664"/>
        <w:gridCol w:w="1781"/>
        <w:gridCol w:w="1850"/>
      </w:tblGrid>
      <w:tr w:rsidR="7715EDC0" w14:paraId="521CAFCA" w14:textId="77777777" w:rsidTr="7715EDC0">
        <w:tc>
          <w:tcPr>
            <w:tcW w:w="1872" w:type="dxa"/>
          </w:tcPr>
          <w:p w14:paraId="316BDBA2" w14:textId="0C2F577F" w:rsidR="7715EDC0" w:rsidRDefault="7715EDC0">
            <w:r>
              <w:t>Substance</w:t>
            </w:r>
          </w:p>
        </w:tc>
        <w:tc>
          <w:tcPr>
            <w:tcW w:w="1872" w:type="dxa"/>
          </w:tcPr>
          <w:p w14:paraId="1BF3CD0D" w14:textId="050D3E43" w:rsidR="7715EDC0" w:rsidRDefault="7715EDC0">
            <w:r>
              <w:t>Reference</w:t>
            </w:r>
          </w:p>
        </w:tc>
        <w:tc>
          <w:tcPr>
            <w:tcW w:w="1872" w:type="dxa"/>
          </w:tcPr>
          <w:p w14:paraId="57E34B28" w14:textId="7DEB2507" w:rsidR="7715EDC0" w:rsidRDefault="7715EDC0">
            <w:r>
              <w:t>Rev 6 limit</w:t>
            </w:r>
          </w:p>
        </w:tc>
        <w:tc>
          <w:tcPr>
            <w:tcW w:w="1872" w:type="dxa"/>
          </w:tcPr>
          <w:p w14:paraId="3078D831" w14:textId="76C90BCB" w:rsidR="7715EDC0" w:rsidRDefault="7715EDC0">
            <w:r>
              <w:t>Rev 7 limit</w:t>
            </w:r>
          </w:p>
        </w:tc>
        <w:tc>
          <w:tcPr>
            <w:tcW w:w="1872" w:type="dxa"/>
          </w:tcPr>
          <w:p w14:paraId="5ECAB515" w14:textId="6FA6F28F" w:rsidR="7715EDC0" w:rsidRDefault="7715EDC0">
            <w:r>
              <w:t>Hazard classification</w:t>
            </w:r>
          </w:p>
        </w:tc>
      </w:tr>
      <w:tr w:rsidR="7715EDC0" w14:paraId="4E25C932" w14:textId="77777777" w:rsidTr="7715EDC0">
        <w:tc>
          <w:tcPr>
            <w:tcW w:w="1872" w:type="dxa"/>
          </w:tcPr>
          <w:p w14:paraId="3AF60405" w14:textId="06BC5304" w:rsidR="7715EDC0" w:rsidRDefault="7715EDC0">
            <w:r>
              <w:t>Trimethyl borate ester</w:t>
            </w:r>
          </w:p>
        </w:tc>
        <w:tc>
          <w:tcPr>
            <w:tcW w:w="1872" w:type="dxa"/>
          </w:tcPr>
          <w:p w14:paraId="1AE53CC8" w14:textId="7F9A39C8" w:rsidR="7715EDC0" w:rsidRDefault="7715EDC0">
            <w:r>
              <w:t>ICHB-2291</w:t>
            </w:r>
          </w:p>
        </w:tc>
        <w:tc>
          <w:tcPr>
            <w:tcW w:w="1872" w:type="dxa"/>
          </w:tcPr>
          <w:p w14:paraId="153CB856" w14:textId="7878208C" w:rsidR="7715EDC0" w:rsidRDefault="7715EDC0">
            <w:r>
              <w:t>1.00%</w:t>
            </w:r>
          </w:p>
        </w:tc>
        <w:tc>
          <w:tcPr>
            <w:tcW w:w="1872" w:type="dxa"/>
          </w:tcPr>
          <w:p w14:paraId="5C29E74A" w14:textId="71560750" w:rsidR="7715EDC0" w:rsidRDefault="7715EDC0">
            <w:r>
              <w:t>0.10%</w:t>
            </w:r>
          </w:p>
        </w:tc>
        <w:tc>
          <w:tcPr>
            <w:tcW w:w="1872" w:type="dxa"/>
          </w:tcPr>
          <w:p w14:paraId="7E7F4F87" w14:textId="6A33EE14" w:rsidR="7715EDC0" w:rsidRDefault="7715EDC0">
            <w:r>
              <w:t>Reprotoxic Category 2</w:t>
            </w:r>
          </w:p>
        </w:tc>
      </w:tr>
      <w:tr w:rsidR="7715EDC0" w14:paraId="6C5FF9D3" w14:textId="77777777" w:rsidTr="7715EDC0">
        <w:tc>
          <w:tcPr>
            <w:tcW w:w="1872" w:type="dxa"/>
          </w:tcPr>
          <w:p w14:paraId="714BA5B9" w14:textId="01494E89" w:rsidR="7715EDC0" w:rsidRDefault="7715EDC0">
            <w:r>
              <w:t>Dichloropropyl phosphate</w:t>
            </w:r>
          </w:p>
        </w:tc>
        <w:tc>
          <w:tcPr>
            <w:tcW w:w="1872" w:type="dxa"/>
          </w:tcPr>
          <w:p w14:paraId="489DAD09" w14:textId="7A27354D" w:rsidR="7715EDC0" w:rsidRDefault="7715EDC0">
            <w:r>
              <w:t>ICHB-1840</w:t>
            </w:r>
          </w:p>
        </w:tc>
        <w:tc>
          <w:tcPr>
            <w:tcW w:w="1872" w:type="dxa"/>
          </w:tcPr>
          <w:p w14:paraId="1BE9F03A" w14:textId="73051C11" w:rsidR="7715EDC0" w:rsidRDefault="7715EDC0">
            <w:r>
              <w:t>2.50%</w:t>
            </w:r>
          </w:p>
        </w:tc>
        <w:tc>
          <w:tcPr>
            <w:tcW w:w="1872" w:type="dxa"/>
          </w:tcPr>
          <w:p w14:paraId="17465B00" w14:textId="6BE302D5" w:rsidR="7715EDC0" w:rsidRDefault="7715EDC0">
            <w:r>
              <w:t>0.50%</w:t>
            </w:r>
          </w:p>
        </w:tc>
        <w:tc>
          <w:tcPr>
            <w:tcW w:w="1872" w:type="dxa"/>
          </w:tcPr>
          <w:p w14:paraId="27B9F0FB" w14:textId="64C0E999" w:rsidR="7715EDC0" w:rsidRDefault="7715EDC0">
            <w:r>
              <w:t>Aquatic Chronic 1</w:t>
            </w:r>
          </w:p>
        </w:tc>
      </w:tr>
      <w:tr w:rsidR="7715EDC0" w14:paraId="641A928B" w14:textId="77777777" w:rsidTr="7715EDC0">
        <w:tc>
          <w:tcPr>
            <w:tcW w:w="1872" w:type="dxa"/>
          </w:tcPr>
          <w:p w14:paraId="4ED0D5BE" w14:textId="7BD64A0E" w:rsidR="7715EDC0" w:rsidRDefault="7715EDC0">
            <w:r>
              <w:t>Nonylphenol ethoxylate, branched</w:t>
            </w:r>
          </w:p>
        </w:tc>
        <w:tc>
          <w:tcPr>
            <w:tcW w:w="1872" w:type="dxa"/>
          </w:tcPr>
          <w:p w14:paraId="2E6D6FF2" w14:textId="74B430D2" w:rsidR="7715EDC0" w:rsidRDefault="7715EDC0">
            <w:r>
              <w:t>ICHB-3077</w:t>
            </w:r>
          </w:p>
        </w:tc>
        <w:tc>
          <w:tcPr>
            <w:tcW w:w="1872" w:type="dxa"/>
          </w:tcPr>
          <w:p w14:paraId="2DD8ADC7" w14:textId="6D921796" w:rsidR="7715EDC0" w:rsidRDefault="7715EDC0">
            <w:r>
              <w:t>0.50%</w:t>
            </w:r>
          </w:p>
        </w:tc>
        <w:tc>
          <w:tcPr>
            <w:tcW w:w="1872" w:type="dxa"/>
          </w:tcPr>
          <w:p w14:paraId="5B6B60AE" w14:textId="666FFE5A" w:rsidR="7715EDC0" w:rsidRDefault="7715EDC0">
            <w:r>
              <w:t>0.10%</w:t>
            </w:r>
          </w:p>
        </w:tc>
        <w:tc>
          <w:tcPr>
            <w:tcW w:w="1872" w:type="dxa"/>
          </w:tcPr>
          <w:p w14:paraId="2A54C9D1" w14:textId="5F4DE51E" w:rsidR="7715EDC0" w:rsidRDefault="7715EDC0">
            <w:r>
              <w:t>Endocrine disrupting properties</w:t>
            </w:r>
          </w:p>
        </w:tc>
      </w:tr>
      <w:tr w:rsidR="7715EDC0" w14:paraId="2DD269F5" w14:textId="77777777" w:rsidTr="7715EDC0">
        <w:tc>
          <w:tcPr>
            <w:tcW w:w="1872" w:type="dxa"/>
          </w:tcPr>
          <w:p w14:paraId="5E14EFDA" w14:textId="76634593" w:rsidR="7715EDC0" w:rsidRDefault="7715EDC0">
            <w:r>
              <w:t>Cyclosiloxane D5 blend</w:t>
            </w:r>
          </w:p>
        </w:tc>
        <w:tc>
          <w:tcPr>
            <w:tcW w:w="1872" w:type="dxa"/>
          </w:tcPr>
          <w:p w14:paraId="49200D07" w14:textId="6F412C57" w:rsidR="7715EDC0" w:rsidRDefault="7715EDC0">
            <w:r>
              <w:t>ICHB-4412</w:t>
            </w:r>
          </w:p>
        </w:tc>
        <w:tc>
          <w:tcPr>
            <w:tcW w:w="1872" w:type="dxa"/>
          </w:tcPr>
          <w:p w14:paraId="19CB8136" w14:textId="681F131B" w:rsidR="7715EDC0" w:rsidRDefault="7715EDC0">
            <w:r>
              <w:t>5.00%</w:t>
            </w:r>
          </w:p>
        </w:tc>
        <w:tc>
          <w:tcPr>
            <w:tcW w:w="1872" w:type="dxa"/>
          </w:tcPr>
          <w:p w14:paraId="14FED5EA" w14:textId="60FCF9DF" w:rsidR="7715EDC0" w:rsidRDefault="7715EDC0">
            <w:r>
              <w:t>2.00%</w:t>
            </w:r>
          </w:p>
        </w:tc>
        <w:tc>
          <w:tcPr>
            <w:tcW w:w="1872" w:type="dxa"/>
          </w:tcPr>
          <w:p w14:paraId="14AA5C88" w14:textId="59DAE0A3" w:rsidR="7715EDC0" w:rsidRDefault="7715EDC0">
            <w:r>
              <w:t>Very persistent, very bioaccumulative</w:t>
            </w:r>
          </w:p>
        </w:tc>
      </w:tr>
      <w:tr w:rsidR="7715EDC0" w14:paraId="1BCA3F37" w14:textId="77777777" w:rsidTr="7715EDC0">
        <w:tc>
          <w:tcPr>
            <w:tcW w:w="1872" w:type="dxa"/>
          </w:tcPr>
          <w:p w14:paraId="1EB1E613" w14:textId="70F04118" w:rsidR="7715EDC0" w:rsidRDefault="7715EDC0">
            <w:r>
              <w:lastRenderedPageBreak/>
              <w:t>Methoxypropyl acetate isomer</w:t>
            </w:r>
          </w:p>
        </w:tc>
        <w:tc>
          <w:tcPr>
            <w:tcW w:w="1872" w:type="dxa"/>
          </w:tcPr>
          <w:p w14:paraId="27DEA415" w14:textId="69CE27DC" w:rsidR="7715EDC0" w:rsidRDefault="7715EDC0">
            <w:r>
              <w:t>ICHB-0956</w:t>
            </w:r>
          </w:p>
        </w:tc>
        <w:tc>
          <w:tcPr>
            <w:tcW w:w="1872" w:type="dxa"/>
          </w:tcPr>
          <w:p w14:paraId="1769EE5E" w14:textId="62AC0EA0" w:rsidR="7715EDC0" w:rsidRDefault="7715EDC0">
            <w:r>
              <w:t>3.00%</w:t>
            </w:r>
          </w:p>
        </w:tc>
        <w:tc>
          <w:tcPr>
            <w:tcW w:w="1872" w:type="dxa"/>
          </w:tcPr>
          <w:p w14:paraId="6922B4A9" w14:textId="5B89F564" w:rsidR="7715EDC0" w:rsidRDefault="7715EDC0">
            <w:r>
              <w:t>3.00% (unchanged)</w:t>
            </w:r>
          </w:p>
        </w:tc>
        <w:tc>
          <w:tcPr>
            <w:tcW w:w="1872" w:type="dxa"/>
          </w:tcPr>
          <w:p w14:paraId="4FA68ECC" w14:textId="5467DC28" w:rsidR="7715EDC0" w:rsidRDefault="7715EDC0">
            <w:r>
              <w:t>Skin Sensitisation 1</w:t>
            </w:r>
          </w:p>
        </w:tc>
      </w:tr>
      <w:tr w:rsidR="7715EDC0" w14:paraId="44866D72" w14:textId="77777777" w:rsidTr="7715EDC0">
        <w:tc>
          <w:tcPr>
            <w:tcW w:w="1872" w:type="dxa"/>
          </w:tcPr>
          <w:p w14:paraId="1B63F31E" w14:textId="6B7D3C9D" w:rsidR="7715EDC0" w:rsidRDefault="7715EDC0">
            <w:r>
              <w:t>Barium metaborate hydrate</w:t>
            </w:r>
          </w:p>
        </w:tc>
        <w:tc>
          <w:tcPr>
            <w:tcW w:w="1872" w:type="dxa"/>
          </w:tcPr>
          <w:p w14:paraId="20692056" w14:textId="645B2361" w:rsidR="7715EDC0" w:rsidRDefault="7715EDC0">
            <w:r>
              <w:t>ICHB-5501</w:t>
            </w:r>
          </w:p>
        </w:tc>
        <w:tc>
          <w:tcPr>
            <w:tcW w:w="1872" w:type="dxa"/>
          </w:tcPr>
          <w:p w14:paraId="4AC63EAB" w14:textId="5D390A25" w:rsidR="7715EDC0" w:rsidRDefault="7715EDC0">
            <w:r>
              <w:t>1.50%</w:t>
            </w:r>
          </w:p>
        </w:tc>
        <w:tc>
          <w:tcPr>
            <w:tcW w:w="1872" w:type="dxa"/>
          </w:tcPr>
          <w:p w14:paraId="189210EF" w14:textId="5616F0E9" w:rsidR="7715EDC0" w:rsidRDefault="7715EDC0">
            <w:r>
              <w:t>0.25%</w:t>
            </w:r>
          </w:p>
        </w:tc>
        <w:tc>
          <w:tcPr>
            <w:tcW w:w="1872" w:type="dxa"/>
          </w:tcPr>
          <w:p w14:paraId="6CC8D9F5" w14:textId="4EF4D7AD" w:rsidR="7715EDC0" w:rsidRDefault="7715EDC0">
            <w:r>
              <w:t>STOT Repeated Exposure 2</w:t>
            </w:r>
          </w:p>
        </w:tc>
      </w:tr>
    </w:tbl>
    <w:p w14:paraId="1BF927E7" w14:textId="5F2628DF" w:rsidR="7715EDC0" w:rsidRDefault="7715EDC0">
      <w:r>
        <w:t>The Board draws particular attention to ICHB-2291. The tenfold reduction from 1.00% to 0.10% is the most significant single change in Revision 7 and is expected to require reformulation across a substantial share of washer fluid and glass treatment product ranges.</w:t>
      </w:r>
    </w:p>
    <w:p w14:paraId="709768D6" w14:textId="785AAA1D" w:rsidR="7715EDC0" w:rsidRDefault="7715EDC0" w:rsidP="7715EDC0">
      <w:pPr>
        <w:pStyle w:val="Heading1"/>
      </w:pPr>
      <w:r w:rsidRPr="7715EDC0">
        <w:rPr>
          <w:color w:val="5C2A1F"/>
        </w:rPr>
        <w:t>3. Basis of measurement</w:t>
      </w:r>
    </w:p>
    <w:p w14:paraId="2BAFC935" w14:textId="26732E07" w:rsidR="7715EDC0" w:rsidRDefault="7715EDC0">
      <w:r>
        <w:t>The limits in Section 2 apply to the concentration of the substance present in the product. Determination shall be by a validated analytical method appropriate to the matrix, and the result shall be reported to two significant figures.</w:t>
      </w:r>
    </w:p>
    <w:p w14:paraId="42A5318D" w14:textId="133963F4" w:rsidR="7715EDC0" w:rsidRDefault="7715EDC0">
      <w:r>
        <w:t xml:space="preserve">Where a product is supplied as two or more components intended to be combined by the user before application, the </w:t>
      </w:r>
      <w:proofErr w:type="gramStart"/>
      <w:r>
        <w:t>responsible person</w:t>
      </w:r>
      <w:proofErr w:type="gramEnd"/>
      <w:r>
        <w:t xml:space="preserve"> </w:t>
      </w:r>
      <w:proofErr w:type="gramStart"/>
      <w:r>
        <w:t>shall</w:t>
      </w:r>
      <w:proofErr w:type="gramEnd"/>
      <w:r>
        <w:t xml:space="preserve"> retain records sufficient to demonstrate compliance </w:t>
      </w:r>
      <w:proofErr w:type="gramStart"/>
      <w:r>
        <w:t>for</w:t>
      </w:r>
      <w:proofErr w:type="gramEnd"/>
      <w:r>
        <w:t xml:space="preserve"> the product. Records shall be retained for ten years from the date the product was last placed on the market.</w:t>
      </w:r>
    </w:p>
    <w:p w14:paraId="363042E1" w14:textId="360D515F" w:rsidR="7715EDC0" w:rsidRDefault="7715EDC0" w:rsidP="7715EDC0">
      <w:pPr>
        <w:pStyle w:val="Heading1"/>
      </w:pPr>
      <w:r w:rsidRPr="7715EDC0">
        <w:rPr>
          <w:color w:val="5C2A1F"/>
        </w:rPr>
        <w:t>4. Transitional provisions</w:t>
      </w:r>
    </w:p>
    <w:p w14:paraId="7899DA15" w14:textId="5A4BFEB5" w:rsidR="7715EDC0" w:rsidRDefault="7715EDC0">
      <w:r>
        <w:t xml:space="preserve">4.1 Product manufactured before 1 April 2027 that complies with Revision 6 may continue to be placed on the market until </w:t>
      </w:r>
      <w:proofErr w:type="gramStart"/>
      <w:r>
        <w:t>31 December 2027, and</w:t>
      </w:r>
      <w:proofErr w:type="gramEnd"/>
      <w:r>
        <w:t xml:space="preserve"> may be sold through by distributors until stocks are exhausted.</w:t>
      </w:r>
    </w:p>
    <w:p w14:paraId="360DF010" w14:textId="11D50E59" w:rsidR="7715EDC0" w:rsidRDefault="7715EDC0">
      <w:r>
        <w:t>4.2 Labels and safety data sheets for affected products shall be revised and reissued no later than 1 October 2027. A data sheet that states a concentration range which spans the applicable limit shall not be treated as demonstrating compliance.</w:t>
      </w:r>
    </w:p>
    <w:p w14:paraId="56063A40" w14:textId="6C7599F8" w:rsidR="7715EDC0" w:rsidRDefault="7715EDC0">
      <w:r>
        <w:t>4.3 Where a responsible person determines that a product placed on the market exceeds a Revision 7 limit, that person shall notify affected downstream users in writing within sixty days of the determination, stating the substance, the concentration, the intended remedy and the expected date of the compliant replacement.</w:t>
      </w:r>
    </w:p>
    <w:p w14:paraId="693CBE46" w14:textId="5E36D091" w:rsidR="7715EDC0" w:rsidRDefault="7715EDC0" w:rsidP="7715EDC0">
      <w:pPr>
        <w:pStyle w:val="Heading1"/>
      </w:pPr>
      <w:r w:rsidRPr="7715EDC0">
        <w:rPr>
          <w:color w:val="5C2A1F"/>
        </w:rPr>
        <w:t>5. Duty to assess</w:t>
      </w:r>
    </w:p>
    <w:p w14:paraId="3E969F52" w14:textId="3002298C" w:rsidR="7715EDC0" w:rsidRDefault="7715EDC0">
      <w:r>
        <w:t xml:space="preserve">Every </w:t>
      </w:r>
      <w:proofErr w:type="gramStart"/>
      <w:r>
        <w:t>responsible person</w:t>
      </w:r>
      <w:proofErr w:type="gramEnd"/>
      <w:r>
        <w:t xml:space="preserve"> shall complete a product-by-product assessment against the Revision 7 limits and shall record, for each product, whether it is compliant, non-compliant, or cannot be determined from the information held. A product recorded as "cannot be determined" shall be treated as non-compliant for the purposes of Section 4.3 unless the determination is completed within one hundred and eighty days of the effective date.</w:t>
      </w:r>
    </w:p>
    <w:p w14:paraId="728BD068" w14:textId="7DF4DD8F" w:rsidR="7715EDC0" w:rsidRDefault="7715EDC0">
      <w:r w:rsidRPr="7715EDC0">
        <w:rPr>
          <w:b/>
          <w:bCs/>
        </w:rPr>
        <w:lastRenderedPageBreak/>
        <w:t>The Board expects that a proportion of assessments will fall into the third category on first pass, most commonly where a historic safety data sheet records a concentration range rather than a determined value, or where a formulation record and a safety data sheet for the same product do not agree. Neither circumstance excuses a failure to assess.</w:t>
      </w:r>
    </w:p>
    <w:p w14:paraId="473EE484" w14:textId="57C95EFA" w:rsidR="7715EDC0" w:rsidRDefault="7715EDC0" w:rsidP="7715EDC0">
      <w:pPr>
        <w:pStyle w:val="Heading1"/>
      </w:pPr>
      <w:r w:rsidRPr="7715EDC0">
        <w:rPr>
          <w:color w:val="5C2A1F"/>
        </w:rPr>
        <w:t>6. Low-volume exemption</w:t>
      </w:r>
    </w:p>
    <w:p w14:paraId="74F66E95" w14:textId="3F1C7E56" w:rsidR="7715EDC0" w:rsidRDefault="7715EDC0">
      <w:r>
        <w:t>6.1 The Board recognises that reformulation of low-volume specialist products may be disproportionate to the exposure reduction achieved.</w:t>
      </w:r>
    </w:p>
    <w:p w14:paraId="56A36DA6" w14:textId="3C57E66C" w:rsidR="7715EDC0" w:rsidRDefault="7715EDC0">
      <w:r>
        <w:t>6.2 A product placed on the market in a quantity not exceeding 250,000 kilograms per calendar year within member territories may be granted a time-limited exemption from the Revision 7 limit for a single substance, renewable once.</w:t>
      </w:r>
    </w:p>
    <w:p w14:paraId="30C7AFF3" w14:textId="2493B088" w:rsidR="7715EDC0" w:rsidRDefault="7715EDC0">
      <w:r>
        <w:t xml:space="preserve">6.3 An exemption claim shall be supported by three documents: an annual volume declaration certified by the </w:t>
      </w:r>
      <w:proofErr w:type="gramStart"/>
      <w:r>
        <w:t>responsible person</w:t>
      </w:r>
      <w:proofErr w:type="gramEnd"/>
      <w:r>
        <w:t>; a technical justification explaining why reformulation is not reasonably practicable within the transitional period; and a substitution assessment identifying candidate alternatives considered and the reason each was rejected. An incomplete claim will not be assessed.</w:t>
      </w:r>
    </w:p>
    <w:p w14:paraId="2C6513EE" w14:textId="490539E2" w:rsidR="7715EDC0" w:rsidRDefault="7715EDC0">
      <w:r>
        <w:t xml:space="preserve">6.4 An exemption does not remove the notification duty in Section </w:t>
      </w:r>
      <w:proofErr w:type="gramStart"/>
      <w:r>
        <w:t>4.3, and</w:t>
      </w:r>
      <w:proofErr w:type="gramEnd"/>
      <w:r>
        <w:t xml:space="preserve"> does not apply where the product is supplied for use in food contact, potable water contact, or medical device applications.</w:t>
      </w:r>
    </w:p>
    <w:p w14:paraId="7B368E4B" w14:textId="2C3350E4" w:rsidR="7715EDC0" w:rsidRDefault="7715EDC0" w:rsidP="7715EDC0">
      <w:pPr>
        <w:pStyle w:val="Heading1"/>
      </w:pPr>
      <w:r w:rsidRPr="7715EDC0">
        <w:rPr>
          <w:color w:val="5C2A1F"/>
        </w:rPr>
        <w:t>7. Submission and contact</w:t>
      </w:r>
    </w:p>
    <w:p w14:paraId="49385F15" w14:textId="4D417606" w:rsidR="7715EDC0" w:rsidRDefault="7715EDC0">
      <w:r>
        <w:t>Assessments and exemption claims shall be submitted through the Board's registration portal. Claims received after 1 February 2027 will not be determined before the effective date, and the product shall be treated as non-compliant from 1 April 2027 until the claim is determined.</w:t>
      </w:r>
    </w:p>
    <w:p w14:paraId="2B3BDCD3" w14:textId="4089DD6A" w:rsidR="7715EDC0" w:rsidRDefault="7715EDC0">
      <w:r>
        <w:t>Questions on the interpretation of this bulletin should be directed to the Board's technical secretariat. The Board does not provide product-specific compliance advice and will not confirm the status of an individual formulation outside the assessment process.</w:t>
      </w:r>
    </w:p>
    <w:p w14:paraId="6DBABF5A" w14:textId="445505B5" w:rsidR="7715EDC0" w:rsidRDefault="7715EDC0" w:rsidP="7715EDC0">
      <w:pPr>
        <w:pStyle w:val="Heading1"/>
      </w:pPr>
      <w:r w:rsidRPr="7715EDC0">
        <w:rPr>
          <w:color w:val="5C2A1F"/>
        </w:rPr>
        <w:t>Annex A — Summary of what changed from Revision 6</w:t>
      </w:r>
    </w:p>
    <w:tbl>
      <w:tblPr>
        <w:tblStyle w:val="TableGrid"/>
        <w:tblW w:w="0" w:type="auto"/>
        <w:tblLook w:val="0000" w:firstRow="0" w:lastRow="0" w:firstColumn="0" w:lastColumn="0" w:noHBand="0" w:noVBand="0"/>
      </w:tblPr>
      <w:tblGrid>
        <w:gridCol w:w="4419"/>
        <w:gridCol w:w="4437"/>
      </w:tblGrid>
      <w:tr w:rsidR="7715EDC0" w14:paraId="73E9BC55" w14:textId="77777777" w:rsidTr="7715EDC0">
        <w:tc>
          <w:tcPr>
            <w:tcW w:w="4680" w:type="dxa"/>
          </w:tcPr>
          <w:p w14:paraId="1E0B80D7" w14:textId="0AFE04D7" w:rsidR="7715EDC0" w:rsidRDefault="7715EDC0">
            <w:r>
              <w:t>Change</w:t>
            </w:r>
          </w:p>
        </w:tc>
        <w:tc>
          <w:tcPr>
            <w:tcW w:w="4680" w:type="dxa"/>
          </w:tcPr>
          <w:p w14:paraId="4DB9873E" w14:textId="03DBEB9B" w:rsidR="7715EDC0" w:rsidRDefault="7715EDC0">
            <w:r>
              <w:t>Effect on a responsible person</w:t>
            </w:r>
          </w:p>
        </w:tc>
      </w:tr>
      <w:tr w:rsidR="7715EDC0" w14:paraId="52F9138D" w14:textId="77777777" w:rsidTr="7715EDC0">
        <w:tc>
          <w:tcPr>
            <w:tcW w:w="4680" w:type="dxa"/>
          </w:tcPr>
          <w:p w14:paraId="39D135C1" w14:textId="1AF14C10" w:rsidR="7715EDC0" w:rsidRDefault="7715EDC0">
            <w:r>
              <w:t>Five of six substance limits reduced; ICHB-2291 cut tenfold</w:t>
            </w:r>
          </w:p>
        </w:tc>
        <w:tc>
          <w:tcPr>
            <w:tcW w:w="4680" w:type="dxa"/>
          </w:tcPr>
          <w:p w14:paraId="49DC9A69" w14:textId="13CF32D4" w:rsidR="7715EDC0" w:rsidRDefault="7715EDC0">
            <w:r>
              <w:t>A full product-by-product assessment is required, not a review of known cases</w:t>
            </w:r>
          </w:p>
        </w:tc>
      </w:tr>
      <w:tr w:rsidR="7715EDC0" w14:paraId="2FBB9D81" w14:textId="77777777" w:rsidTr="7715EDC0">
        <w:tc>
          <w:tcPr>
            <w:tcW w:w="4680" w:type="dxa"/>
          </w:tcPr>
          <w:p w14:paraId="414FD4C0" w14:textId="2AE49349" w:rsidR="7715EDC0" w:rsidRDefault="7715EDC0">
            <w:r>
              <w:t>Sell-through window shortened to 31 December 2027</w:t>
            </w:r>
          </w:p>
        </w:tc>
        <w:tc>
          <w:tcPr>
            <w:tcW w:w="4680" w:type="dxa"/>
          </w:tcPr>
          <w:p w14:paraId="1DFA73DC" w14:textId="23C27A0D" w:rsidR="7715EDC0" w:rsidRDefault="7715EDC0">
            <w:r>
              <w:t>Approximately nine months of transitional relief rather than the twenty-four months allowed under Revision 6</w:t>
            </w:r>
          </w:p>
        </w:tc>
      </w:tr>
      <w:tr w:rsidR="7715EDC0" w14:paraId="5B113327" w14:textId="77777777" w:rsidTr="7715EDC0">
        <w:tc>
          <w:tcPr>
            <w:tcW w:w="4680" w:type="dxa"/>
          </w:tcPr>
          <w:p w14:paraId="1B428BAE" w14:textId="3AD7DA82" w:rsidR="7715EDC0" w:rsidRDefault="7715EDC0">
            <w:r>
              <w:t xml:space="preserve">New three-way assessment record: compliant, non-compliant, cannot be </w:t>
            </w:r>
            <w:r>
              <w:lastRenderedPageBreak/>
              <w:t>determined</w:t>
            </w:r>
          </w:p>
        </w:tc>
        <w:tc>
          <w:tcPr>
            <w:tcW w:w="4680" w:type="dxa"/>
          </w:tcPr>
          <w:p w14:paraId="1FC91635" w14:textId="33B5C146" w:rsidR="7715EDC0" w:rsidRDefault="7715EDC0">
            <w:r>
              <w:lastRenderedPageBreak/>
              <w:t>Uncertainty must now be recorded explicitly rather than left unresolved</w:t>
            </w:r>
          </w:p>
        </w:tc>
      </w:tr>
      <w:tr w:rsidR="7715EDC0" w14:paraId="5F205C5A" w14:textId="77777777" w:rsidTr="7715EDC0">
        <w:tc>
          <w:tcPr>
            <w:tcW w:w="4680" w:type="dxa"/>
          </w:tcPr>
          <w:p w14:paraId="27EE3A21" w14:textId="4ACB21BB" w:rsidR="7715EDC0" w:rsidRDefault="7715EDC0">
            <w:r>
              <w:t>"Cannot be determined" defaults to non-compliant after 180 days</w:t>
            </w:r>
          </w:p>
        </w:tc>
        <w:tc>
          <w:tcPr>
            <w:tcW w:w="4680" w:type="dxa"/>
          </w:tcPr>
          <w:p w14:paraId="11455886" w14:textId="43A9087F" w:rsidR="7715EDC0" w:rsidRDefault="7715EDC0">
            <w:r>
              <w:t>Data gaps carry a deadline and a consequence</w:t>
            </w:r>
          </w:p>
        </w:tc>
      </w:tr>
      <w:tr w:rsidR="7715EDC0" w14:paraId="6F51098F" w14:textId="77777777" w:rsidTr="7715EDC0">
        <w:tc>
          <w:tcPr>
            <w:tcW w:w="4680" w:type="dxa"/>
          </w:tcPr>
          <w:p w14:paraId="761A3D89" w14:textId="5ABE68F4" w:rsidR="7715EDC0" w:rsidRDefault="7715EDC0">
            <w:r>
              <w:t>Low-volume exemption introduced at 250,000 kg per year</w:t>
            </w:r>
          </w:p>
        </w:tc>
        <w:tc>
          <w:tcPr>
            <w:tcW w:w="4680" w:type="dxa"/>
          </w:tcPr>
          <w:p w14:paraId="7295DAC0" w14:textId="539C4FB8" w:rsidR="7715EDC0" w:rsidRDefault="7715EDC0">
            <w:r>
              <w:t>A route for specialist products, but it requires three supporting documents per claim</w:t>
            </w:r>
          </w:p>
        </w:tc>
      </w:tr>
    </w:tbl>
    <w:p w14:paraId="6949DD6F" w14:textId="20952D76" w:rsidR="7715EDC0" w:rsidRDefault="7715EDC0">
      <w:r w:rsidRPr="7715EDC0">
        <w:rPr>
          <w:i/>
          <w:iCs/>
          <w:color w:val="1C1C9B"/>
        </w:rPr>
        <w:t>End of bulletin ICHB/TB/2026-07. Fictional training content — not a real regulation.</w:t>
      </w:r>
    </w:p>
    <w:sectPr w:rsidR="7715EDC0" w:rsidSect="00034616">
      <w:headerReference w:type="default" r:id="rId8"/>
      <w:footerReference w:type="default" r:id="rId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274CED" w14:textId="77777777" w:rsidR="003923D5" w:rsidRDefault="003923D5">
      <w:pPr>
        <w:spacing w:after="0" w:line="240" w:lineRule="auto"/>
      </w:pPr>
      <w:r>
        <w:separator/>
      </w:r>
    </w:p>
  </w:endnote>
  <w:endnote w:type="continuationSeparator" w:id="0">
    <w:p w14:paraId="1C02ACCA" w14:textId="77777777" w:rsidR="003923D5" w:rsidRDefault="003923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ABC87E" w14:textId="77777777" w:rsidR="00185389" w:rsidRDefault="0018538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F71E46" w14:textId="77777777" w:rsidR="003923D5" w:rsidRDefault="003923D5">
      <w:pPr>
        <w:spacing w:after="0" w:line="240" w:lineRule="auto"/>
      </w:pPr>
      <w:r>
        <w:separator/>
      </w:r>
    </w:p>
  </w:footnote>
  <w:footnote w:type="continuationSeparator" w:id="0">
    <w:p w14:paraId="50B2CC3C" w14:textId="77777777" w:rsidR="003923D5" w:rsidRDefault="003923D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1293F2" w14:textId="77777777" w:rsidR="00185389" w:rsidRDefault="0018538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6284481">
    <w:abstractNumId w:val="8"/>
  </w:num>
  <w:num w:numId="2" w16cid:durableId="2041738305">
    <w:abstractNumId w:val="6"/>
  </w:num>
  <w:num w:numId="3" w16cid:durableId="758599406">
    <w:abstractNumId w:val="5"/>
  </w:num>
  <w:num w:numId="4" w16cid:durableId="1057513358">
    <w:abstractNumId w:val="4"/>
  </w:num>
  <w:num w:numId="5" w16cid:durableId="678506577">
    <w:abstractNumId w:val="7"/>
  </w:num>
  <w:num w:numId="6" w16cid:durableId="52510773">
    <w:abstractNumId w:val="3"/>
  </w:num>
  <w:num w:numId="7" w16cid:durableId="931861893">
    <w:abstractNumId w:val="2"/>
  </w:num>
  <w:num w:numId="8" w16cid:durableId="747700909">
    <w:abstractNumId w:val="1"/>
  </w:num>
  <w:num w:numId="9" w16cid:durableId="18641250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5389"/>
    <w:rsid w:val="00193CC7"/>
    <w:rsid w:val="0029639D"/>
    <w:rsid w:val="00326F90"/>
    <w:rsid w:val="003923D5"/>
    <w:rsid w:val="0056FA09"/>
    <w:rsid w:val="00711D6D"/>
    <w:rsid w:val="007C7C2C"/>
    <w:rsid w:val="00AA1D8D"/>
    <w:rsid w:val="00B47730"/>
    <w:rsid w:val="00CB0664"/>
    <w:rsid w:val="00F15074"/>
    <w:rsid w:val="00FC693F"/>
    <w:rsid w:val="020D7C37"/>
    <w:rsid w:val="03BB68E4"/>
    <w:rsid w:val="078C44B7"/>
    <w:rsid w:val="09FE9846"/>
    <w:rsid w:val="0E976F86"/>
    <w:rsid w:val="129E1D81"/>
    <w:rsid w:val="1374F902"/>
    <w:rsid w:val="15CBF70E"/>
    <w:rsid w:val="1865F5CC"/>
    <w:rsid w:val="1A2E70C2"/>
    <w:rsid w:val="1E6A075B"/>
    <w:rsid w:val="228471E3"/>
    <w:rsid w:val="24741413"/>
    <w:rsid w:val="2791CD9D"/>
    <w:rsid w:val="2B2F9AD6"/>
    <w:rsid w:val="3644CD1B"/>
    <w:rsid w:val="3C80D44B"/>
    <w:rsid w:val="42749D14"/>
    <w:rsid w:val="448B6051"/>
    <w:rsid w:val="488EA702"/>
    <w:rsid w:val="51231E6E"/>
    <w:rsid w:val="550546D7"/>
    <w:rsid w:val="5636F035"/>
    <w:rsid w:val="5EA62FCC"/>
    <w:rsid w:val="61CF60B0"/>
    <w:rsid w:val="661F6CA3"/>
    <w:rsid w:val="6883E2E0"/>
    <w:rsid w:val="6B9CD091"/>
    <w:rsid w:val="6C96C2F8"/>
    <w:rsid w:val="6F09A6FA"/>
    <w:rsid w:val="7715EDC0"/>
    <w:rsid w:val="79010402"/>
    <w:rsid w:val="79694A44"/>
    <w:rsid w:val="7A03BA1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D0CF1911-4911-4F3E-A417-D28862A9EA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f42aa342-8706-4288-bd11-ebb85995028c}"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4</Pages>
  <Words>1022</Words>
  <Characters>5830</Characters>
  <Application>Microsoft Office Word</Application>
  <DocSecurity>0</DocSecurity>
  <Lines>48</Lines>
  <Paragraphs>13</Paragraphs>
  <ScaleCrop>false</ScaleCrop>
  <Manager/>
  <Company/>
  <LinksUpToDate>false</LinksUpToDate>
  <CharactersWithSpaces>6839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Byron Castillo</cp:lastModifiedBy>
  <cp:revision>3</cp:revision>
  <dcterms:created xsi:type="dcterms:W3CDTF">2026-09-14T18:50:00Z</dcterms:created>
  <dcterms:modified xsi:type="dcterms:W3CDTF">2026-09-22T02:36:00Z</dcterms:modified>
  <cp:category/>
</cp:coreProperties>
</file>