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 Consult — Belső Standard (Internal Standard)</w:t>
      </w:r>
    </w:p>
    <w:p>
      <w:r>
        <w:t>Verzió 1.0 · Minden projektre kötelező · Fiktív gyakorló-dokumentum</w:t>
      </w:r>
    </w:p>
    <w:p>
      <w:pPr>
        <w:pStyle w:val="Heading1"/>
      </w:pPr>
      <w:r>
        <w:t>1. Miért</w:t>
      </w:r>
    </w:p>
    <w:p>
      <w:r>
        <w:t>Minden projektünk azonos felépítésben él, hogy a három iroda bármelyikéből bárki fél óra alatt átvegyen egy ismeretlen projektet. A rend nem öncél: ez teszi átláthatóvá és auditálhatóvá a munkánkat.</w:t>
      </w:r>
    </w:p>
    <w:p>
      <w:pPr>
        <w:pStyle w:val="Heading1"/>
      </w:pPr>
      <w:r>
        <w:t>2. Kötelező mappa-struktúra (minden projekt gyökerében)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Mappa</w:t>
            </w:r>
          </w:p>
        </w:tc>
        <w:tc>
          <w:tcPr>
            <w:tcW w:type="dxa" w:w="4320"/>
          </w:tcPr>
          <w:p>
            <w:r>
              <w:t>Mi kerül ide</w:t>
            </w:r>
          </w:p>
        </w:tc>
      </w:tr>
      <w:tr>
        <w:tc>
          <w:tcPr>
            <w:tcW w:type="dxa" w:w="4320"/>
          </w:tcPr>
          <w:p>
            <w:r>
              <w:t>01_Cerere_de_finantare</w:t>
            </w:r>
          </w:p>
        </w:tc>
        <w:tc>
          <w:tcPr>
            <w:tcW w:type="dxa" w:w="4320"/>
          </w:tcPr>
          <w:p>
            <w:r>
              <w:t>pályázati dosszié: Anexa B üzleti terv, deviz general</w:t>
            </w:r>
          </w:p>
        </w:tc>
      </w:tr>
      <w:tr>
        <w:tc>
          <w:tcPr>
            <w:tcW w:type="dxa" w:w="4320"/>
          </w:tcPr>
          <w:p>
            <w:r>
              <w:t>02_Editabil</w:t>
            </w:r>
          </w:p>
        </w:tc>
        <w:tc>
          <w:tcPr>
            <w:tcW w:type="dxa" w:w="4320"/>
          </w:tcPr>
          <w:p>
            <w:r>
              <w:t>a végleges, szerkeszthető master-dokumentumok (egyetlen aktuális verzió)</w:t>
            </w:r>
          </w:p>
        </w:tc>
      </w:tr>
      <w:tr>
        <w:tc>
          <w:tcPr>
            <w:tcW w:type="dxa" w:w="4320"/>
          </w:tcPr>
          <w:p>
            <w:r>
              <w:t>03_Documente_de_lucru</w:t>
            </w:r>
          </w:p>
        </w:tc>
        <w:tc>
          <w:tcPr>
            <w:tcW w:type="dxa" w:w="4320"/>
          </w:tcPr>
          <w:p>
            <w:r>
              <w:t>munkaanyag, kapott dokumentumok, régi verziók</w:t>
            </w:r>
          </w:p>
        </w:tc>
      </w:tr>
      <w:tr>
        <w:tc>
          <w:tcPr>
            <w:tcW w:type="dxa" w:w="4320"/>
          </w:tcPr>
          <w:p>
            <w:r>
              <w:t>04_Scan</w:t>
            </w:r>
          </w:p>
        </w:tc>
        <w:tc>
          <w:tcPr>
            <w:tcW w:type="dxa" w:w="4320"/>
          </w:tcPr>
          <w:p>
            <w:r>
              <w:t>leadott, szkennelt PDF-ek beadási sorrendben</w:t>
            </w:r>
          </w:p>
        </w:tc>
      </w:tr>
      <w:tr>
        <w:tc>
          <w:tcPr>
            <w:tcW w:type="dxa" w:w="4320"/>
          </w:tcPr>
          <w:p>
            <w:r>
              <w:t>05_Semnat</w:t>
            </w:r>
          </w:p>
        </w:tc>
        <w:tc>
          <w:tcPr>
            <w:tcW w:type="dxa" w:w="4320"/>
          </w:tcPr>
          <w:p>
            <w:r>
              <w:t>elektronikusan aláírt, beadott dokumentumok</w:t>
            </w:r>
          </w:p>
        </w:tc>
      </w:tr>
      <w:tr>
        <w:tc>
          <w:tcPr>
            <w:tcW w:type="dxa" w:w="4320"/>
          </w:tcPr>
          <w:p>
            <w:r>
              <w:t>06_Contract_de_finantare</w:t>
            </w:r>
          </w:p>
        </w:tc>
        <w:tc>
          <w:tcPr>
            <w:tcW w:type="dxa" w:w="4320"/>
          </w:tcPr>
          <w:p>
            <w:r>
              <w:t>támogatási szerződés + acte adiționale</w:t>
            </w:r>
          </w:p>
        </w:tc>
      </w:tr>
      <w:tr>
        <w:tc>
          <w:tcPr>
            <w:tcW w:type="dxa" w:w="4320"/>
          </w:tcPr>
          <w:p>
            <w:r>
              <w:t>07_Proiect_tehnic</w:t>
            </w:r>
          </w:p>
        </w:tc>
        <w:tc>
          <w:tcPr>
            <w:tcW w:type="dxa" w:w="4320"/>
          </w:tcPr>
          <w:p>
            <w:r>
              <w:t>technikai terv (edit + scan)</w:t>
            </w:r>
          </w:p>
        </w:tc>
      </w:tr>
      <w:tr>
        <w:tc>
          <w:tcPr>
            <w:tcW w:type="dxa" w:w="4320"/>
          </w:tcPr>
          <w:p>
            <w:r>
              <w:t>08_Dosare_de_achizitii</w:t>
            </w:r>
          </w:p>
        </w:tc>
        <w:tc>
          <w:tcPr>
            <w:tcW w:type="dxa" w:w="4320"/>
          </w:tcPr>
          <w:p>
            <w:r>
              <w:t>beszerzési dossziék: DAC konzultáció, DAP tervezés, DAD dirigenție, DAL munkálatok, DAF szállítás</w:t>
            </w:r>
          </w:p>
        </w:tc>
      </w:tr>
      <w:tr>
        <w:tc>
          <w:tcPr>
            <w:tcW w:type="dxa" w:w="4320"/>
          </w:tcPr>
          <w:p>
            <w:r>
              <w:t>09_Cereri_de_plata</w:t>
            </w:r>
          </w:p>
        </w:tc>
        <w:tc>
          <w:tcPr>
            <w:tcW w:type="dxa" w:w="4320"/>
          </w:tcPr>
          <w:p>
            <w:r>
              <w:t>kifizetési / elszámolási kérések (CR/CP)</w:t>
            </w:r>
          </w:p>
        </w:tc>
      </w:tr>
      <w:tr>
        <w:tc>
          <w:tcPr>
            <w:tcW w:type="dxa" w:w="4320"/>
          </w:tcPr>
          <w:p>
            <w:r>
              <w:t>10_Monitorizare</w:t>
            </w:r>
          </w:p>
        </w:tc>
        <w:tc>
          <w:tcPr>
            <w:tcW w:type="dxa" w:w="4320"/>
          </w:tcPr>
          <w:p>
            <w:r>
              <w:t>progres-riportok, notificări, Centralizator (SL-követés)</w:t>
            </w:r>
          </w:p>
        </w:tc>
      </w:tr>
    </w:tbl>
    <w:p>
      <w:pPr>
        <w:pStyle w:val="Heading1"/>
      </w:pPr>
      <w:r>
        <w:t>3. Elnevezési konvenció (kötelező)</w:t>
      </w:r>
    </w:p>
    <w:p>
      <w:r>
        <w:t>Minden fájl: sorszám_KÓD_dokumentumnév_Iniciálé_dátum</w:t>
      </w:r>
    </w:p>
    <w:p>
      <w:r>
        <w:t>Példa: 01.b_THR_Deviz_general_ISZ_30.06.2026.xlsx</w:t>
      </w:r>
    </w:p>
    <w:p>
      <w:r>
        <w:t>A projekt-kód (pl. THR = Napsugár Tejüzem) a fájlnév része. Dátum: NN.HH.ÉÉÉÉ.</w:t>
      </w:r>
    </w:p>
    <w:p>
      <w:pPr>
        <w:pStyle w:val="Heading1"/>
      </w:pPr>
      <w:r>
        <w:t>4. Formátum</w:t>
      </w:r>
    </w:p>
    <w:p>
      <w:r>
        <w:t>Minden kimenő dokumentum betűtípusa: Verdana 9, szín Black Text 1 Lighter 25%.</w:t>
      </w:r>
    </w:p>
    <w:p>
      <w:pPr>
        <w:pStyle w:val="Heading1"/>
      </w:pPr>
      <w:r>
        <w:t>5. Kommunikáció</w:t>
      </w:r>
    </w:p>
    <w:p>
      <w:r>
        <w:t>Alap: email. Gyors egyeztetés: WhatsApp. Online meeting: Teams. Nagy fájl: Wetransfer. Munkaidő 8:00–19:00.</w:t>
      </w:r>
    </w:p>
    <w:p>
      <w:pPr>
        <w:pStyle w:val="Heading1"/>
      </w:pPr>
      <w:r>
        <w:t>6. Amit TILOS a projektmappában tárolni</w:t>
      </w:r>
    </w:p>
    <w:p>
      <w:r>
        <w:rPr>
          <w:b/>
        </w:rPr>
        <w:t>Személyes fájlok</w:t>
      </w:r>
    </w:p>
    <w:p>
      <w:r>
        <w:t>Fotók, receptek, bevásárlólisták, magánjellegű anyagok nem valók a projektmappába.</w:t>
      </w:r>
    </w:p>
    <w:p>
      <w:r>
        <w:rPr>
          <w:b/>
          <w:color w:val="C00000"/>
        </w:rPr>
        <w:t>Jelszavak és hozzáférési adatok — SÚLYOS biztonsági kockázat</w:t>
      </w:r>
    </w:p>
    <w:p>
      <w:r>
        <w:t>Jelszó, PIN, banki vagy platform-hozzáférés (e-licitatie, SEAP, email) SOHA nem tárolható sima szöveges fájlban a projektmappában. Ha ilyet találsz, azonnal jelezni kell, és biztonságos jelszókezelőbe kell átvinni.</w:t>
      </w:r>
    </w:p>
    <w:p>
      <w:pPr>
        <w:pStyle w:val="Heading1"/>
      </w:pPr>
      <w:r>
        <w:t>7. AI-kontextus: CLAUDE.md</w:t>
      </w:r>
    </w:p>
    <w:p>
      <w:r>
        <w:t>Minden projekt gyökerében legyen egy CLAUDE.md fájl, ami röviden leírja a projekt lényegét és a fenti szabályokat, hogy az AI minden munkamenet elején ezt olvasva azonnal a standard szerint dolgozzon.</w:t>
      </w:r>
    </w:p>
    <w:p>
      <w:pPr>
        <w:pStyle w:val="Heading1"/>
      </w:pPr>
      <w:r>
        <w:t>8. Kötelező dokumentum-template</w:t>
      </w:r>
    </w:p>
    <w:p>
      <w:r>
        <w:t>Minden kimenő dokumentumot a RC_Template_URES.docx üres templatből kell elkészíteni. A template tartalmazza a kötelező RegioConsult fejlécet (logó) és láblécet (www.regioconsult.ro + irodák), és az alap Verdana 9 (Black Text 1 Lighter 25%) formátumot.</w:t>
      </w:r>
    </w:p>
    <w:p>
      <w:r>
        <w:t>Soha ne készíts dokumentumot nulláról. Mindig a templatet nyisd meg, töltsd ki a tartalmat, és a standard elnevezéssel mentsd a projekt megfelelő mappájába.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