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COMANDĂ NR. 1 — FAZA PILOT (Phase 1)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Megrendelőlap / Act Adițional la Contract-Cadru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Contractul-Cadru de Colaborare și Prestări Servicii Digitale încheiat între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EXARGROUPS S.R.L.</w:t>
      </w:r>
      <w:r>
        <w:rPr>
          <w:rFonts w:ascii="Arial" w:cs="Arial" w:eastAsia="Arial" w:hAnsi="Arial"/>
          <w:sz w:val="22"/>
          <w:szCs w:val="22"/>
        </w:rPr>
        <w:t xml:space="preserve"> și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DEAK PROD SRL</w:t>
      </w:r>
    </w:p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Obiectul Comenzii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Prezenta Comandă stabilește condițiile comerciale pentru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Faza Pilot</w:t>
      </w:r>
      <w:r>
        <w:rPr>
          <w:rFonts w:ascii="Arial" w:cs="Arial" w:eastAsia="Arial" w:hAnsi="Arial"/>
          <w:sz w:val="22"/>
          <w:szCs w:val="22"/>
        </w:rPr>
        <w:t xml:space="preserve"> (Phase 1) a colaborării, în care Platforma deakhus.ro este lansată în regim de testare cu un număr limitat de utilizatori din Odorheiu Secuiesc.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Durata fazei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2.1. Faza Pilot începe la data semnării prezentei Comenzi.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2.2. Durata maximă a Fazei Pilot este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(trei) luni calendaristice</w:t>
      </w:r>
      <w:r>
        <w:rPr>
          <w:rFonts w:ascii="Arial" w:cs="Arial" w:eastAsia="Arial" w:hAnsi="Arial"/>
          <w:sz w:val="22"/>
          <w:szCs w:val="22"/>
        </w:rPr>
        <w:t xml:space="preserve"> de la data semnării.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2.3. Faza Pilot poate lua sfârșit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oricând</w:t>
      </w:r>
      <w:r>
        <w:rPr>
          <w:rFonts w:ascii="Arial" w:cs="Arial" w:eastAsia="Arial" w:hAnsi="Arial"/>
          <w:sz w:val="22"/>
          <w:szCs w:val="22"/>
        </w:rPr>
        <w:t xml:space="preserve"> înainte de termen, prin decizia comună a Părților sau prin îndeplinirea criteriilor de evaluare (Art. 5).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2.4. La expirarea celor 3 luni, dacă nu s-au îndeplinit criteriile de scalare, Părțile decid de comun acord: continuarea cu condiții ajustate, sau încetarea colaborării fără penalități.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Taxa de platformă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3.1. Taxa de platformă este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6,8% (șase virgulă opt la sută)</w:t>
      </w:r>
      <w:r>
        <w:rPr>
          <w:rFonts w:ascii="Arial" w:cs="Arial" w:eastAsia="Arial" w:hAnsi="Arial"/>
          <w:sz w:val="22"/>
          <w:szCs w:val="22"/>
        </w:rPr>
        <w:t xml:space="preserve"> din valoarea netă (fără TVA) a fiecărei Vânzări eligibile.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3.2. Taxa de platformă se calculează automat de Platformă la finalizarea fiecărei comenzi livrate și nereturnate.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3.3. La facturare, Prestatorul adaugă TVA conform cotei legale în vigoare.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Facturare și plată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4.1. Prestatorul emite factură lunară, pe baza raportului de vânzări generat de Platformă.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4.2. Termen de plată: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 zile calendaristice</w:t>
      </w:r>
      <w:r>
        <w:rPr>
          <w:rFonts w:ascii="Arial" w:cs="Arial" w:eastAsia="Arial" w:hAnsi="Arial"/>
          <w:sz w:val="22"/>
          <w:szCs w:val="22"/>
        </w:rPr>
        <w:t xml:space="preserve"> de la emiterea facturii.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4.3. Partenerul achită taxa de platformă către Prestator prin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transfer bancar</w:t>
      </w:r>
      <w:r>
        <w:rPr>
          <w:rFonts w:ascii="Arial" w:cs="Arial" w:eastAsia="Arial" w:hAnsi="Arial"/>
          <w:sz w:val="22"/>
          <w:szCs w:val="22"/>
        </w:rPr>
        <w:t xml:space="preserve">, conform facturii emise.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Criteriile de evaluare (după 30 de zile)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Scalare (ambele îndeplinite)</w:t>
      </w:r>
      <w:r>
        <w:rPr>
          <w:rFonts w:ascii="Arial" w:cs="Arial" w:eastAsia="Arial" w:hAnsi="Arial"/>
          <w:sz w:val="22"/>
          <w:szCs w:val="22"/>
        </w:rPr>
        <w:t xml:space="preserve"> — Faza Pilot se consideră reușită și se trece la Phase 2: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• ≥ 50 utilizatori înregistrați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• ≥ 20 clienți cu comandă repetată (re-comandă în termen de 14 zile)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Stop</w:t>
      </w:r>
      <w:r>
        <w:rPr>
          <w:rFonts w:ascii="Arial" w:cs="Arial" w:eastAsia="Arial" w:hAnsi="Arial"/>
          <w:sz w:val="22"/>
          <w:szCs w:val="22"/>
        </w:rPr>
        <w:t xml:space="preserve"> — Faza Pilot se încheie fără continuare dacă, după 3 luni și efort maxim de marketing, criteriile de la 5.1 nu sunt îndeplinite și nu există tendință de creștere.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5.3. Părțile pot decide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oricând</w:t>
      </w:r>
      <w:r>
        <w:rPr>
          <w:rFonts w:ascii="Arial" w:cs="Arial" w:eastAsia="Arial" w:hAnsi="Arial"/>
          <w:sz w:val="22"/>
          <w:szCs w:val="22"/>
        </w:rPr>
        <w:t xml:space="preserve"> încetarea anticipată a Fazei Pilot, de comun acord, fără penalități.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Limitarea riscului (Stop Cap)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6.1. Investiția maximă a Prestatorului în Faza Pilot nu depășește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12.000–13.000 EUR</w:t>
      </w:r>
      <w:r>
        <w:rPr>
          <w:rFonts w:ascii="Arial" w:cs="Arial" w:eastAsia="Arial" w:hAnsi="Arial"/>
          <w:sz w:val="22"/>
          <w:szCs w:val="22"/>
        </w:rPr>
        <w:t xml:space="preserve"> (dezvoltare + operare + marketing).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6.2. Dacă se atinge acest prag fără rezultate conform Art. 5, Părțile pot decide încetarea Fazei Pilot fără penalități.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KPI monitorizat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North Star KPI:</w:t>
      </w:r>
      <w:r>
        <w:rPr>
          <w:rFonts w:ascii="Arial" w:cs="Arial" w:eastAsia="Arial" w:hAnsi="Arial"/>
          <w:sz w:val="22"/>
          <w:szCs w:val="22"/>
        </w:rPr>
        <w:t xml:space="preserve"> Second Order Rate la 14 zile (țintă: ≥ 40%)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TTFO</w:t>
      </w:r>
      <w:r>
        <w:rPr>
          <w:rFonts w:ascii="Arial" w:cs="Arial" w:eastAsia="Arial" w:hAnsi="Arial"/>
          <w:sz w:val="22"/>
          <w:szCs w:val="22"/>
        </w:rPr>
        <w:t xml:space="preserve"> (Time to First Order): țintă ≤ 72 ore de la înregistrare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Dispoziții finale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8.1. Prezenta Comandă face parte integrantă din Contractul-Cadru.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8.2. Aspectele nereglementate de prezenta Comandă se supun prevederilor Contractului-Cadru.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8.3. Prezenta Comandă s-a încheiat în 2 (două) exemplare originale.</w:t>
      </w:r>
    </w:p>
    <w:p>
      <w:pPr>
        <w:spacing w:after="120"/>
      </w:pP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PRESTATOR</w:t>
            </w:r>
          </w:p>
        </w:tc>
        <w:tc>
          <w:tcPr>
            <w:tcW w:type="dxa" w:w="3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PARTENER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Entitate</w:t>
            </w:r>
          </w:p>
        </w:tc>
        <w:tc>
          <w:tcPr>
            <w:tcW w:type="dxa" w:w="3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EXARGROUPS S.R.L.</w:t>
            </w:r>
          </w:p>
        </w:tc>
        <w:tc>
          <w:tcPr>
            <w:tcW w:type="dxa" w:w="3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DEAK PROD SRL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CUI</w:t>
            </w:r>
          </w:p>
        </w:tc>
        <w:tc>
          <w:tcPr>
            <w:tcW w:type="dxa" w:w="3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RO41839221</w:t>
            </w:r>
          </w:p>
        </w:tc>
        <w:tc>
          <w:tcPr>
            <w:tcW w:type="dxa" w:w="3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4845288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Semnătură</w:t>
            </w:r>
          </w:p>
        </w:tc>
        <w:tc>
          <w:tcPr>
            <w:tcW w:type="dxa" w:w="3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Nume, funcție</w:t>
            </w:r>
          </w:p>
        </w:tc>
        <w:tc>
          <w:tcPr>
            <w:tcW w:type="dxa" w:w="3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Becze Szabolcs, Administrator</w:t>
            </w:r>
          </w:p>
        </w:tc>
        <w:tc>
          <w:tcPr>
            <w:tcW w:type="dxa" w:w="3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Deák Sándor, Administrator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din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Comandă nr. 1 — Phase 1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2026-04-22T07:19:20.674Z</dcterms:created>
  <dcterms:modified xsi:type="dcterms:W3CDTF">2026-04-22T07:19:20.674Z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