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jc w:val="center"/>
      </w:pPr>
      <w:r>
        <w:rPr>
          <w:rFonts w:ascii="Arial" w:cs="Arial" w:eastAsia="Arial" w:hAnsi="Arial"/>
          <w:b/>
          <w:bCs/>
          <w:sz w:val="32"/>
          <w:szCs w:val="32"/>
        </w:rPr>
        <w:t xml:space="preserve">CONTRACT-CADRU DE COLABORARE ȘI PRESTĂRI SERVICII DIGITALE</w:t>
      </w:r>
    </w:p>
    <w:p>
      <w:pPr>
        <w:spacing w:after="120"/>
        <w:jc w:val="center"/>
      </w:pPr>
      <w:r>
        <w:rPr>
          <w:rFonts w:ascii="Arial" w:cs="Arial" w:eastAsia="Arial" w:hAnsi="Arial"/>
          <w:i/>
          <w:iCs/>
          <w:sz w:val="22"/>
          <w:szCs w:val="22"/>
        </w:rPr>
        <w:t xml:space="preserve">(pe durată nedeterminată)</w:t>
      </w:r>
    </w:p>
    <w:p>
      <w:pPr>
        <w:spacing w:after="120"/>
      </w:pPr>
    </w:p>
    <w:p>
      <w:pPr>
        <w:spacing w:after="120"/>
      </w:pPr>
      <w:r>
        <w:rPr>
          <w:rFonts w:ascii="Arial" w:cs="Arial" w:eastAsia="Arial" w:hAnsi="Arial"/>
          <w:sz w:val="22"/>
          <w:szCs w:val="22"/>
        </w:rPr>
        <w:t xml:space="preserve">încheiat astăzi, </w:t>
      </w:r>
      <w:r>
        <w:rPr>
          <w:rFonts w:ascii="Arial" w:cs="Arial" w:eastAsia="Arial" w:hAnsi="Arial"/>
          <w:b/>
          <w:bCs/>
          <w:sz w:val="22"/>
          <w:szCs w:val="22"/>
        </w:rPr>
        <w:t xml:space="preserve">22.04.2026</w:t>
      </w:r>
      <w:r>
        <w:rPr>
          <w:rFonts w:ascii="Arial" w:cs="Arial" w:eastAsia="Arial" w:hAnsi="Arial"/>
          <w:sz w:val="22"/>
          <w:szCs w:val="22"/>
        </w:rPr>
        <w:t xml:space="preserve">, între:</w:t>
      </w:r>
    </w:p>
    <w:p>
      <w:pPr>
        <w:spacing w:after="120"/>
      </w:pPr>
    </w:p>
    <w:p>
      <w:pPr>
        <w:spacing w:after="120"/>
      </w:pPr>
      <w:r>
        <w:rPr>
          <w:rFonts w:ascii="Arial" w:cs="Arial" w:eastAsia="Arial" w:hAnsi="Arial"/>
          <w:b/>
          <w:bCs/>
          <w:sz w:val="22"/>
          <w:szCs w:val="22"/>
        </w:rPr>
        <w:t xml:space="preserve">1.</w:t>
      </w:r>
      <w:r>
        <w:rPr>
          <w:rFonts w:ascii="Arial" w:cs="Arial" w:eastAsia="Arial" w:hAnsi="Arial"/>
          <w:sz w:val="22"/>
          <w:szCs w:val="22"/>
        </w:rPr>
        <w:t xml:space="preserve"> EXARGROUPS S.R.L., cu sediul în Odorheiu Secuiesc, str. Orbán Balázs, nr. 9, județul Harghita, înregistrată la Registrul Comerțului sub nr. J2019000789190, având CUI/CIF RO41839221, reprezentată legal prin Becze Szabolcs, în calitate de Administrator, denumită în continuare </w:t>
      </w:r>
      <w:r>
        <w:rPr>
          <w:rFonts w:ascii="Arial" w:cs="Arial" w:eastAsia="Arial" w:hAnsi="Arial"/>
          <w:b/>
          <w:bCs/>
          <w:i/>
          <w:iCs/>
          <w:sz w:val="22"/>
          <w:szCs w:val="22"/>
        </w:rPr>
        <w:t xml:space="preserve">„Prestator”</w:t>
      </w:r>
      <w:r>
        <w:rPr>
          <w:rFonts w:ascii="Arial" w:cs="Arial" w:eastAsia="Arial" w:hAnsi="Arial"/>
          <w:sz w:val="22"/>
          <w:szCs w:val="22"/>
        </w:rPr>
        <w:t xml:space="preserve">,</w:t>
      </w:r>
    </w:p>
    <w:p>
      <w:pPr>
        <w:spacing w:after="120"/>
      </w:pPr>
      <w:r>
        <w:rPr>
          <w:rFonts w:ascii="Arial" w:cs="Arial" w:eastAsia="Arial" w:hAnsi="Arial"/>
          <w:sz w:val="22"/>
          <w:szCs w:val="22"/>
        </w:rPr>
        <w:t xml:space="preserve">și</w:t>
      </w:r>
    </w:p>
    <w:p>
      <w:pPr>
        <w:spacing w:after="120"/>
      </w:pPr>
      <w:r>
        <w:rPr>
          <w:rFonts w:ascii="Arial" w:cs="Arial" w:eastAsia="Arial" w:hAnsi="Arial"/>
          <w:b/>
          <w:bCs/>
          <w:sz w:val="22"/>
          <w:szCs w:val="22"/>
        </w:rPr>
        <w:t xml:space="preserve">2.</w:t>
      </w:r>
      <w:r>
        <w:rPr>
          <w:rFonts w:ascii="Arial" w:cs="Arial" w:eastAsia="Arial" w:hAnsi="Arial"/>
          <w:sz w:val="22"/>
          <w:szCs w:val="22"/>
        </w:rPr>
        <w:t xml:space="preserve"> DEAK PROD SRL, cu sediul în Odorheiu Secuiesc, str. Solymossy, nr. 9, județul Harghita, înregistrată la Registrul Comerțului sub nr. J1993001038198, având CUI 4845288, reprezentată legal prin Deák Sándor, în calitate de Administrator, denumită în continuare </w:t>
      </w:r>
      <w:r>
        <w:rPr>
          <w:rFonts w:ascii="Arial" w:cs="Arial" w:eastAsia="Arial" w:hAnsi="Arial"/>
          <w:b/>
          <w:bCs/>
          <w:i/>
          <w:iCs/>
          <w:sz w:val="22"/>
          <w:szCs w:val="22"/>
        </w:rPr>
        <w:t xml:space="preserve">„Partener”</w:t>
      </w:r>
      <w:r>
        <w:rPr>
          <w:rFonts w:ascii="Arial" w:cs="Arial" w:eastAsia="Arial" w:hAnsi="Arial"/>
          <w:sz w:val="22"/>
          <w:szCs w:val="22"/>
        </w:rPr>
        <w:t xml:space="preserve"> sau </w:t>
      </w:r>
      <w:r>
        <w:rPr>
          <w:rFonts w:ascii="Arial" w:cs="Arial" w:eastAsia="Arial" w:hAnsi="Arial"/>
          <w:b/>
          <w:bCs/>
          <w:i/>
          <w:iCs/>
          <w:sz w:val="22"/>
          <w:szCs w:val="22"/>
        </w:rPr>
        <w:t xml:space="preserve">„Beneficiar”</w:t>
      </w:r>
      <w:r>
        <w:rPr>
          <w:rFonts w:ascii="Arial" w:cs="Arial" w:eastAsia="Arial" w:hAnsi="Arial"/>
          <w:sz w:val="22"/>
          <w:szCs w:val="22"/>
        </w:rPr>
        <w:t xml:space="preserve">,</w:t>
      </w:r>
    </w:p>
    <w:p>
      <w:pPr>
        <w:spacing w:after="120"/>
      </w:pPr>
    </w:p>
    <w:p>
      <w:pPr>
        <w:spacing w:after="120"/>
      </w:pPr>
      <w:r>
        <w:rPr>
          <w:rFonts w:ascii="Arial" w:cs="Arial" w:eastAsia="Arial" w:hAnsi="Arial"/>
          <w:sz w:val="22"/>
          <w:szCs w:val="22"/>
        </w:rPr>
        <w:t xml:space="preserve">denumite împreună „Părțile” și individual „Parte”.</w:t>
      </w:r>
    </w:p>
    <w:p>
      <w:pPr>
        <w:spacing w:after="120"/>
      </w:pPr>
      <w:r>
        <w:rPr>
          <w:rFonts w:ascii="Arial" w:cs="Arial" w:eastAsia="Arial" w:hAnsi="Arial"/>
          <w:sz w:val="22"/>
          <w:szCs w:val="22"/>
        </w:rPr>
        <w:t xml:space="preserve">au convenit încheierea prezentului contract-cadru („Contractul”) după cum urmează:</w:t>
      </w:r>
    </w:p>
    <w:p>
      <w:pPr>
        <w:spacing w:after="120"/>
      </w:pPr>
    </w:p>
    <w:p>
      <w:pPr>
        <w:pStyle w:val="Heading2"/>
        <w:spacing w:after="120" w:before="240"/>
        <w:jc w:val="left"/>
      </w:pPr>
      <w:r>
        <w:rPr>
          <w:rFonts w:ascii="Arial" w:cs="Arial" w:eastAsia="Arial" w:hAnsi="Arial"/>
          <w:b/>
          <w:bCs/>
          <w:sz w:val="26"/>
          <w:szCs w:val="26"/>
        </w:rPr>
        <w:t xml:space="preserve">Art. 1. DEFINIȚII</w:t>
      </w:r>
    </w:p>
    <w:p>
      <w:pPr>
        <w:spacing w:after="120"/>
      </w:pPr>
      <w:r>
        <w:rPr>
          <w:rFonts w:ascii="Arial" w:cs="Arial" w:eastAsia="Arial" w:hAnsi="Arial"/>
          <w:sz w:val="22"/>
          <w:szCs w:val="22"/>
        </w:rPr>
        <w:t xml:space="preserve">În sensul prezentului Contract:</w:t>
      </w:r>
    </w:p>
    <w:p>
      <w:pPr>
        <w:spacing w:after="120"/>
      </w:pPr>
      <w:r>
        <w:rPr>
          <w:rFonts w:ascii="Arial" w:cs="Arial" w:eastAsia="Arial" w:hAnsi="Arial"/>
          <w:b/>
          <w:bCs/>
          <w:sz w:val="22"/>
          <w:szCs w:val="22"/>
        </w:rPr>
        <w:t xml:space="preserve">Platforma</w:t>
      </w:r>
      <w:r>
        <w:rPr>
          <w:rFonts w:ascii="Arial" w:cs="Arial" w:eastAsia="Arial" w:hAnsi="Arial"/>
          <w:sz w:val="22"/>
          <w:szCs w:val="22"/>
        </w:rPr>
        <w:t xml:space="preserve"> – aplicația web accesibilă la domeniul deakhus.ro, dezvoltată și operată de Prestator.</w:t>
      </w:r>
    </w:p>
    <w:p>
      <w:pPr>
        <w:spacing w:after="120"/>
      </w:pPr>
      <w:r>
        <w:rPr>
          <w:rFonts w:ascii="Arial" w:cs="Arial" w:eastAsia="Arial" w:hAnsi="Arial"/>
          <w:b/>
          <w:bCs/>
          <w:sz w:val="22"/>
          <w:szCs w:val="22"/>
        </w:rPr>
        <w:t xml:space="preserve">Vânzări eligibile</w:t>
      </w:r>
      <w:r>
        <w:rPr>
          <w:rFonts w:ascii="Arial" w:cs="Arial" w:eastAsia="Arial" w:hAnsi="Arial"/>
          <w:sz w:val="22"/>
          <w:szCs w:val="22"/>
        </w:rPr>
        <w:t xml:space="preserve"> – comenzile livrate, încasate și neanulate, procesate prin Platformă.</w:t>
      </w:r>
    </w:p>
    <w:p>
      <w:pPr>
        <w:spacing w:after="120"/>
      </w:pPr>
      <w:r>
        <w:rPr>
          <w:rFonts w:ascii="Arial" w:cs="Arial" w:eastAsia="Arial" w:hAnsi="Arial"/>
          <w:b/>
          <w:bCs/>
          <w:sz w:val="22"/>
          <w:szCs w:val="22"/>
        </w:rPr>
        <w:t xml:space="preserve">Taxă de platformă</w:t>
      </w:r>
      <w:r>
        <w:rPr>
          <w:rFonts w:ascii="Arial" w:cs="Arial" w:eastAsia="Arial" w:hAnsi="Arial"/>
          <w:sz w:val="22"/>
          <w:szCs w:val="22"/>
        </w:rPr>
        <w:t xml:space="preserve"> – procentul perceput de Prestator din valoarea Vânzărilor eligibile, conform Comenzii în vigoare.</w:t>
      </w:r>
    </w:p>
    <w:p>
      <w:pPr>
        <w:spacing w:after="120"/>
      </w:pPr>
      <w:r>
        <w:rPr>
          <w:rFonts w:ascii="Arial" w:cs="Arial" w:eastAsia="Arial" w:hAnsi="Arial"/>
          <w:b/>
          <w:bCs/>
          <w:sz w:val="22"/>
          <w:szCs w:val="22"/>
        </w:rPr>
        <w:t xml:space="preserve">Comandă (Megrendelőlap)</w:t>
      </w:r>
      <w:r>
        <w:rPr>
          <w:rFonts w:ascii="Arial" w:cs="Arial" w:eastAsia="Arial" w:hAnsi="Arial"/>
          <w:sz w:val="22"/>
          <w:szCs w:val="22"/>
        </w:rPr>
        <w:t xml:space="preserve"> – document separat, semnat de ambele Părți, care stabilește condițiile comerciale specifice unei faze de colaborare.</w:t>
      </w:r>
    </w:p>
    <w:p>
      <w:pPr>
        <w:pStyle w:val="Heading2"/>
        <w:spacing w:after="120" w:before="240"/>
        <w:jc w:val="left"/>
      </w:pPr>
      <w:r>
        <w:rPr>
          <w:rFonts w:ascii="Arial" w:cs="Arial" w:eastAsia="Arial" w:hAnsi="Arial"/>
          <w:b/>
          <w:bCs/>
          <w:sz w:val="26"/>
          <w:szCs w:val="26"/>
        </w:rPr>
        <w:t xml:space="preserve">Art. 2. OBIECTUL CONTRACTULUI</w:t>
      </w:r>
    </w:p>
    <w:p>
      <w:pPr>
        <w:spacing w:after="120"/>
      </w:pPr>
      <w:r>
        <w:rPr>
          <w:rFonts w:ascii="Arial" w:cs="Arial" w:eastAsia="Arial" w:hAnsi="Arial"/>
          <w:sz w:val="22"/>
          <w:szCs w:val="22"/>
        </w:rPr>
        <w:t xml:space="preserve">2.1. Prestatorul se obligă să dezvolte, să opereze și să întrețină Platforma, în vederea facilitării vânzării online a produselor Partenerului.</w:t>
      </w:r>
    </w:p>
    <w:p>
      <w:pPr>
        <w:spacing w:after="120"/>
      </w:pPr>
      <w:r>
        <w:rPr>
          <w:rFonts w:ascii="Arial" w:cs="Arial" w:eastAsia="Arial" w:hAnsi="Arial"/>
          <w:sz w:val="22"/>
          <w:szCs w:val="22"/>
        </w:rPr>
        <w:t xml:space="preserve">2.2. Partenerul se obligă să furnizeze produsele, să gestioneze logistica și să îndeplinească obligațiile comerciale și legale ce îi revin în calitate de vânzător direct.</w:t>
      </w:r>
    </w:p>
    <w:p>
      <w:pPr>
        <w:spacing w:after="120"/>
      </w:pPr>
      <w:r>
        <w:rPr>
          <w:rFonts w:ascii="Arial" w:cs="Arial" w:eastAsia="Arial" w:hAnsi="Arial"/>
          <w:sz w:val="22"/>
          <w:szCs w:val="22"/>
        </w:rPr>
        <w:t xml:space="preserve">2.3. Condițiile comerciale specifice (taxă de platformă, KPI, SLA) vor fi stabilite prin Comenzi subsecvente.</w:t>
      </w:r>
    </w:p>
    <w:p>
      <w:pPr>
        <w:pStyle w:val="Heading2"/>
        <w:spacing w:after="120" w:before="240"/>
        <w:jc w:val="left"/>
      </w:pPr>
      <w:r>
        <w:rPr>
          <w:rFonts w:ascii="Arial" w:cs="Arial" w:eastAsia="Arial" w:hAnsi="Arial"/>
          <w:b/>
          <w:bCs/>
          <w:sz w:val="26"/>
          <w:szCs w:val="26"/>
        </w:rPr>
        <w:t xml:space="preserve">Art. 3. NATURA RELAȚIEI JURIDICE</w:t>
      </w:r>
    </w:p>
    <w:p>
      <w:pPr>
        <w:spacing w:after="120"/>
      </w:pPr>
      <w:r>
        <w:rPr>
          <w:rFonts w:ascii="Arial" w:cs="Arial" w:eastAsia="Arial" w:hAnsi="Arial"/>
          <w:sz w:val="22"/>
          <w:szCs w:val="22"/>
        </w:rPr>
        <w:t xml:space="preserve">3.1. Prezentul Contract nu constituie societate, asociere în participațiune, joint venture sau raport de muncă.</w:t>
      </w:r>
    </w:p>
    <w:p>
      <w:pPr>
        <w:spacing w:after="120"/>
      </w:pPr>
      <w:r>
        <w:rPr>
          <w:rFonts w:ascii="Arial" w:cs="Arial" w:eastAsia="Arial" w:hAnsi="Arial"/>
          <w:sz w:val="22"/>
          <w:szCs w:val="22"/>
        </w:rPr>
        <w:t xml:space="preserve">3.2. Prestatorul nu dobândește proprietatea asupra produselor comercializate.</w:t>
      </w:r>
    </w:p>
    <w:p>
      <w:pPr>
        <w:spacing w:after="120"/>
      </w:pPr>
      <w:r>
        <w:rPr>
          <w:rFonts w:ascii="Arial" w:cs="Arial" w:eastAsia="Arial" w:hAnsi="Arial"/>
          <w:sz w:val="22"/>
          <w:szCs w:val="22"/>
        </w:rPr>
        <w:t xml:space="preserve">3.3. Partenerul rămâne vânzătorul direct al produselor către clientul final.</w:t>
      </w:r>
    </w:p>
    <w:p>
      <w:pPr>
        <w:spacing w:after="120"/>
      </w:pPr>
      <w:r>
        <w:rPr>
          <w:rFonts w:ascii="Arial" w:cs="Arial" w:eastAsia="Arial" w:hAnsi="Arial"/>
          <w:sz w:val="22"/>
          <w:szCs w:val="22"/>
        </w:rPr>
        <w:t xml:space="preserve">3.4. Prestatorul acționează exclusiv ca furnizor de servicii digitale.</w:t>
      </w:r>
    </w:p>
    <w:p>
      <w:pPr>
        <w:pStyle w:val="Heading2"/>
        <w:spacing w:after="120" w:before="240"/>
        <w:jc w:val="left"/>
      </w:pPr>
      <w:r>
        <w:rPr>
          <w:rFonts w:ascii="Arial" w:cs="Arial" w:eastAsia="Arial" w:hAnsi="Arial"/>
          <w:b/>
          <w:bCs/>
          <w:sz w:val="26"/>
          <w:szCs w:val="26"/>
        </w:rPr>
        <w:t xml:space="preserve">Art. 4. OBLIGAȚIILE PRESTATORULUI</w:t>
      </w:r>
    </w:p>
    <w:p>
      <w:pPr>
        <w:spacing w:after="120"/>
      </w:pPr>
      <w:r>
        <w:rPr>
          <w:rFonts w:ascii="Arial" w:cs="Arial" w:eastAsia="Arial" w:hAnsi="Arial"/>
          <w:sz w:val="22"/>
          <w:szCs w:val="22"/>
        </w:rPr>
        <w:t xml:space="preserve">Prestatorul se obligă:</w:t>
      </w:r>
    </w:p>
    <w:p>
      <w:pPr>
        <w:spacing w:after="120"/>
      </w:pPr>
      <w:r>
        <w:rPr>
          <w:rFonts w:ascii="Arial" w:cs="Arial" w:eastAsia="Arial" w:hAnsi="Arial"/>
          <w:sz w:val="22"/>
          <w:szCs w:val="22"/>
        </w:rPr>
        <w:t xml:space="preserve">a) să dezvolte și să opereze Platforma;</w:t>
      </w:r>
    </w:p>
    <w:p>
      <w:pPr>
        <w:spacing w:after="120"/>
      </w:pPr>
      <w:r>
        <w:rPr>
          <w:rFonts w:ascii="Arial" w:cs="Arial" w:eastAsia="Arial" w:hAnsi="Arial"/>
          <w:sz w:val="22"/>
          <w:szCs w:val="22"/>
        </w:rPr>
        <w:t xml:space="preserve">b) să asigure funcționarea tehnică și mentenanța;</w:t>
      </w:r>
    </w:p>
    <w:p>
      <w:pPr>
        <w:spacing w:after="120"/>
      </w:pPr>
      <w:r>
        <w:rPr>
          <w:rFonts w:ascii="Arial" w:cs="Arial" w:eastAsia="Arial" w:hAnsi="Arial"/>
          <w:sz w:val="22"/>
          <w:szCs w:val="22"/>
        </w:rPr>
        <w:t xml:space="preserve">c) să furnizeze suport tehnic;</w:t>
      </w:r>
    </w:p>
    <w:p>
      <w:pPr>
        <w:spacing w:after="120"/>
      </w:pPr>
      <w:r>
        <w:rPr>
          <w:rFonts w:ascii="Arial" w:cs="Arial" w:eastAsia="Arial" w:hAnsi="Arial"/>
          <w:sz w:val="22"/>
          <w:szCs w:val="22"/>
        </w:rPr>
        <w:t xml:space="preserve">d) să ofere instrumente de analiză (analytics);</w:t>
      </w:r>
    </w:p>
    <w:p>
      <w:pPr>
        <w:spacing w:after="120"/>
      </w:pPr>
      <w:r>
        <w:rPr>
          <w:rFonts w:ascii="Arial" w:cs="Arial" w:eastAsia="Arial" w:hAnsi="Arial"/>
          <w:sz w:val="22"/>
          <w:szCs w:val="22"/>
        </w:rPr>
        <w:t xml:space="preserve">e) să implementeze îmbunătățiri convenite;</w:t>
      </w:r>
    </w:p>
    <w:p>
      <w:pPr>
        <w:spacing w:after="120"/>
      </w:pPr>
      <w:r>
        <w:rPr>
          <w:rFonts w:ascii="Arial" w:cs="Arial" w:eastAsia="Arial" w:hAnsi="Arial"/>
          <w:sz w:val="22"/>
          <w:szCs w:val="22"/>
        </w:rPr>
        <w:t xml:space="preserve">f) să monitorizeze performanța sistemului.</w:t>
      </w:r>
    </w:p>
    <w:p>
      <w:pPr>
        <w:pStyle w:val="Heading2"/>
        <w:spacing w:after="120" w:before="240"/>
        <w:jc w:val="left"/>
      </w:pPr>
      <w:r>
        <w:rPr>
          <w:rFonts w:ascii="Arial" w:cs="Arial" w:eastAsia="Arial" w:hAnsi="Arial"/>
          <w:b/>
          <w:bCs/>
          <w:sz w:val="26"/>
          <w:szCs w:val="26"/>
        </w:rPr>
        <w:t xml:space="preserve">Art. 5. OBLIGAȚIILE PARTENERULUI</w:t>
      </w:r>
    </w:p>
    <w:p>
      <w:pPr>
        <w:spacing w:after="120"/>
      </w:pPr>
      <w:r>
        <w:rPr>
          <w:rFonts w:ascii="Arial" w:cs="Arial" w:eastAsia="Arial" w:hAnsi="Arial"/>
          <w:sz w:val="22"/>
          <w:szCs w:val="22"/>
        </w:rPr>
        <w:t xml:space="preserve">Partenerul se obligă:</w:t>
      </w:r>
    </w:p>
    <w:p>
      <w:pPr>
        <w:spacing w:after="120"/>
      </w:pPr>
      <w:r>
        <w:rPr>
          <w:rFonts w:ascii="Arial" w:cs="Arial" w:eastAsia="Arial" w:hAnsi="Arial"/>
          <w:sz w:val="22"/>
          <w:szCs w:val="22"/>
        </w:rPr>
        <w:t xml:space="preserve">a) să furnizeze produse conforme și sigure;</w:t>
      </w:r>
    </w:p>
    <w:p>
      <w:pPr>
        <w:spacing w:after="120"/>
      </w:pPr>
      <w:r>
        <w:rPr>
          <w:rFonts w:ascii="Arial" w:cs="Arial" w:eastAsia="Arial" w:hAnsi="Arial"/>
          <w:sz w:val="22"/>
          <w:szCs w:val="22"/>
        </w:rPr>
        <w:t xml:space="preserve">b) să asigure corectitudinea descrierilor și prețurilor;</w:t>
      </w:r>
    </w:p>
    <w:p>
      <w:pPr>
        <w:spacing w:after="120"/>
      </w:pPr>
      <w:r>
        <w:rPr>
          <w:rFonts w:ascii="Arial" w:cs="Arial" w:eastAsia="Arial" w:hAnsi="Arial"/>
          <w:sz w:val="22"/>
          <w:szCs w:val="22"/>
        </w:rPr>
        <w:t xml:space="preserve">c) să gestioneze stocurile;</w:t>
      </w:r>
    </w:p>
    <w:p>
      <w:pPr>
        <w:spacing w:after="120"/>
      </w:pPr>
      <w:r>
        <w:rPr>
          <w:rFonts w:ascii="Arial" w:cs="Arial" w:eastAsia="Arial" w:hAnsi="Arial"/>
          <w:sz w:val="22"/>
          <w:szCs w:val="22"/>
        </w:rPr>
        <w:t xml:space="preserve">d) să livreze produsele către clienți;</w:t>
      </w:r>
    </w:p>
    <w:p>
      <w:pPr>
        <w:spacing w:after="120"/>
      </w:pPr>
      <w:r>
        <w:rPr>
          <w:rFonts w:ascii="Arial" w:cs="Arial" w:eastAsia="Arial" w:hAnsi="Arial"/>
          <w:sz w:val="22"/>
          <w:szCs w:val="22"/>
        </w:rPr>
        <w:t xml:space="preserve">e) să încaseze contravaloarea comenzilor;</w:t>
      </w:r>
    </w:p>
    <w:p>
      <w:pPr>
        <w:spacing w:after="120"/>
      </w:pPr>
      <w:r>
        <w:rPr>
          <w:rFonts w:ascii="Arial" w:cs="Arial" w:eastAsia="Arial" w:hAnsi="Arial"/>
          <w:sz w:val="22"/>
          <w:szCs w:val="22"/>
        </w:rPr>
        <w:t xml:space="preserve">f) să emită documentele fiscale;</w:t>
      </w:r>
    </w:p>
    <w:p>
      <w:pPr>
        <w:spacing w:after="120"/>
      </w:pPr>
      <w:r>
        <w:rPr>
          <w:rFonts w:ascii="Arial" w:cs="Arial" w:eastAsia="Arial" w:hAnsi="Arial"/>
          <w:sz w:val="22"/>
          <w:szCs w:val="22"/>
        </w:rPr>
        <w:t xml:space="preserve">g) să gestioneze reclamațiile privind produsele;</w:t>
      </w:r>
    </w:p>
    <w:p>
      <w:pPr>
        <w:spacing w:after="120"/>
      </w:pPr>
      <w:r>
        <w:rPr>
          <w:rFonts w:ascii="Arial" w:cs="Arial" w:eastAsia="Arial" w:hAnsi="Arial"/>
          <w:sz w:val="22"/>
          <w:szCs w:val="22"/>
        </w:rPr>
        <w:t xml:space="preserve">h) să respecte legislația privind siguranța alimentară și protecția consumatorului.</w:t>
      </w:r>
    </w:p>
    <w:p>
      <w:pPr>
        <w:pStyle w:val="Heading2"/>
        <w:spacing w:after="120" w:before="240"/>
        <w:jc w:val="left"/>
      </w:pPr>
      <w:r>
        <w:rPr>
          <w:rFonts w:ascii="Arial" w:cs="Arial" w:eastAsia="Arial" w:hAnsi="Arial"/>
          <w:b/>
          <w:bCs/>
          <w:sz w:val="26"/>
          <w:szCs w:val="26"/>
        </w:rPr>
        <w:t xml:space="preserve">Art. 6. COMENZI (DOCUMENTE COMERCIALE SUBSECVENTE)</w:t>
      </w:r>
    </w:p>
    <w:p>
      <w:pPr>
        <w:spacing w:after="120"/>
      </w:pPr>
      <w:r>
        <w:rPr>
          <w:rFonts w:ascii="Arial" w:cs="Arial" w:eastAsia="Arial" w:hAnsi="Arial"/>
          <w:sz w:val="22"/>
          <w:szCs w:val="22"/>
        </w:rPr>
        <w:t xml:space="preserve">6.1. Condițiile comerciale specifice fiecărei faze se stabilesc prin Comenzi separate, semnate de ambele Părți.</w:t>
      </w:r>
    </w:p>
    <w:p>
      <w:pPr>
        <w:spacing w:after="120"/>
      </w:pPr>
      <w:r>
        <w:rPr>
          <w:rFonts w:ascii="Arial" w:cs="Arial" w:eastAsia="Arial" w:hAnsi="Arial"/>
          <w:sz w:val="22"/>
          <w:szCs w:val="22"/>
        </w:rPr>
        <w:t xml:space="preserve">6.2. O Comandă intră în vigoare la data semnării și rămâne valabilă până la expirarea termenului specificat sau până la înlocuirea printr-o nouă Comandă.</w:t>
      </w:r>
    </w:p>
    <w:p>
      <w:pPr>
        <w:spacing w:after="120"/>
      </w:pPr>
      <w:r>
        <w:rPr>
          <w:rFonts w:ascii="Arial" w:cs="Arial" w:eastAsia="Arial" w:hAnsi="Arial"/>
          <w:sz w:val="22"/>
          <w:szCs w:val="22"/>
        </w:rPr>
        <w:t xml:space="preserve">6.3. Fiecare Comandă va conține cel puțin: taxa de platformă, durata fazei, condițiile de evaluare și criteriile de trecere la faza următoare.</w:t>
      </w:r>
    </w:p>
    <w:p>
      <w:pPr>
        <w:spacing w:after="120"/>
      </w:pPr>
      <w:r>
        <w:rPr>
          <w:rFonts w:ascii="Arial" w:cs="Arial" w:eastAsia="Arial" w:hAnsi="Arial"/>
          <w:sz w:val="22"/>
          <w:szCs w:val="22"/>
        </w:rPr>
        <w:t xml:space="preserve">6.4. Comenzile fac parte integrantă din prezentul Contract. În caz de contradicție între Contract și o Comandă, prevederile Comenzii prevalează.</w:t>
      </w:r>
    </w:p>
    <w:p>
      <w:pPr>
        <w:pStyle w:val="Heading2"/>
        <w:spacing w:after="120" w:before="240"/>
        <w:jc w:val="left"/>
      </w:pPr>
      <w:r>
        <w:rPr>
          <w:rFonts w:ascii="Arial" w:cs="Arial" w:eastAsia="Arial" w:hAnsi="Arial"/>
          <w:b/>
          <w:bCs/>
          <w:sz w:val="26"/>
          <w:szCs w:val="26"/>
        </w:rPr>
        <w:t xml:space="preserve">Art. 7. TAXA DE PLATFORMĂ</w:t>
      </w:r>
    </w:p>
    <w:p>
      <w:pPr>
        <w:spacing w:after="120"/>
      </w:pPr>
      <w:r>
        <w:rPr>
          <w:rFonts w:ascii="Arial" w:cs="Arial" w:eastAsia="Arial" w:hAnsi="Arial"/>
          <w:sz w:val="22"/>
          <w:szCs w:val="22"/>
        </w:rPr>
        <w:t xml:space="preserve">7.1. Prestatorul percepe o </w:t>
      </w:r>
      <w:r>
        <w:rPr>
          <w:rFonts w:ascii="Arial" w:cs="Arial" w:eastAsia="Arial" w:hAnsi="Arial"/>
          <w:b/>
          <w:bCs/>
          <w:sz w:val="22"/>
          <w:szCs w:val="22"/>
        </w:rPr>
        <w:t xml:space="preserve">taxă de platformă</w:t>
      </w:r>
      <w:r>
        <w:rPr>
          <w:rFonts w:ascii="Arial" w:cs="Arial" w:eastAsia="Arial" w:hAnsi="Arial"/>
          <w:sz w:val="22"/>
          <w:szCs w:val="22"/>
        </w:rPr>
        <w:t xml:space="preserve">, exprimată ca procent din valoarea Vânzărilor eligibile.</w:t>
      </w:r>
    </w:p>
    <w:p>
      <w:pPr>
        <w:spacing w:after="120"/>
      </w:pPr>
      <w:r>
        <w:rPr>
          <w:rFonts w:ascii="Arial" w:cs="Arial" w:eastAsia="Arial" w:hAnsi="Arial"/>
          <w:sz w:val="22"/>
          <w:szCs w:val="22"/>
        </w:rPr>
        <w:t xml:space="preserve">7.2. Procentul exact al taxei de platformă se stabilește în fiecare Comandă și poate varia de la o fază la alta.</w:t>
      </w:r>
    </w:p>
    <w:p>
      <w:pPr>
        <w:spacing w:after="120"/>
      </w:pPr>
      <w:r>
        <w:rPr>
          <w:rFonts w:ascii="Arial" w:cs="Arial" w:eastAsia="Arial" w:hAnsi="Arial"/>
          <w:sz w:val="22"/>
          <w:szCs w:val="22"/>
        </w:rPr>
        <w:t xml:space="preserve">7.3. Modalitățile de calcul, facturare și plată se detaliază în Comanda corespunzătoare.</w:t>
      </w:r>
    </w:p>
    <w:p>
      <w:pPr>
        <w:pStyle w:val="Heading2"/>
        <w:spacing w:after="120" w:before="240"/>
        <w:jc w:val="left"/>
      </w:pPr>
      <w:r>
        <w:rPr>
          <w:rFonts w:ascii="Arial" w:cs="Arial" w:eastAsia="Arial" w:hAnsi="Arial"/>
          <w:b/>
          <w:bCs/>
          <w:sz w:val="26"/>
          <w:szCs w:val="26"/>
        </w:rPr>
        <w:t xml:space="preserve">Art. 8. FACTURARE ȘI PLATĂ</w:t>
      </w:r>
    </w:p>
    <w:p>
      <w:pPr>
        <w:spacing w:after="120"/>
      </w:pPr>
      <w:r>
        <w:rPr>
          <w:rFonts w:ascii="Arial" w:cs="Arial" w:eastAsia="Arial" w:hAnsi="Arial"/>
          <w:sz w:val="22"/>
          <w:szCs w:val="22"/>
        </w:rPr>
        <w:t xml:space="preserve">8.1. Prestatorul va emite facturi conform legislației în vigoare, pe baza taxei de platformă stabilite în Comanda activă.</w:t>
      </w:r>
    </w:p>
    <w:p>
      <w:pPr>
        <w:spacing w:after="120"/>
      </w:pPr>
      <w:r>
        <w:rPr>
          <w:rFonts w:ascii="Arial" w:cs="Arial" w:eastAsia="Arial" w:hAnsi="Arial"/>
          <w:sz w:val="22"/>
          <w:szCs w:val="22"/>
        </w:rPr>
        <w:t xml:space="preserve">8.2. Termenul și modalitatea de plată se stabilesc în fiecare Comandă.</w:t>
      </w:r>
    </w:p>
    <w:p>
      <w:pPr>
        <w:pStyle w:val="Heading2"/>
        <w:spacing w:after="120" w:before="240"/>
        <w:jc w:val="left"/>
      </w:pPr>
      <w:r>
        <w:rPr>
          <w:rFonts w:ascii="Arial" w:cs="Arial" w:eastAsia="Arial" w:hAnsi="Arial"/>
          <w:b/>
          <w:bCs/>
          <w:sz w:val="26"/>
          <w:szCs w:val="26"/>
        </w:rPr>
        <w:t xml:space="preserve">Art. 9. DURATA CONTRACTULUI</w:t>
      </w:r>
    </w:p>
    <w:p>
      <w:pPr>
        <w:spacing w:after="120"/>
      </w:pPr>
      <w:r>
        <w:rPr>
          <w:rFonts w:ascii="Arial" w:cs="Arial" w:eastAsia="Arial" w:hAnsi="Arial"/>
          <w:sz w:val="22"/>
          <w:szCs w:val="22"/>
        </w:rPr>
        <w:t xml:space="preserve">9.1. Prezentul Contract se încheie pe durată nedeterminată.</w:t>
      </w:r>
    </w:p>
    <w:p>
      <w:pPr>
        <w:spacing w:after="120"/>
      </w:pPr>
      <w:r>
        <w:rPr>
          <w:rFonts w:ascii="Arial" w:cs="Arial" w:eastAsia="Arial" w:hAnsi="Arial"/>
          <w:sz w:val="22"/>
          <w:szCs w:val="22"/>
        </w:rPr>
        <w:t xml:space="preserve">9.2. Contractul intră în vigoare la data semnării.</w:t>
      </w:r>
    </w:p>
    <w:p>
      <w:pPr>
        <w:pStyle w:val="Heading2"/>
        <w:spacing w:after="120" w:before="240"/>
        <w:jc w:val="left"/>
      </w:pPr>
      <w:r>
        <w:rPr>
          <w:rFonts w:ascii="Arial" w:cs="Arial" w:eastAsia="Arial" w:hAnsi="Arial"/>
          <w:b/>
          <w:bCs/>
          <w:sz w:val="26"/>
          <w:szCs w:val="26"/>
        </w:rPr>
        <w:t xml:space="preserve">Art. 10. ÎNCETAREA CONTRACTULUI</w:t>
      </w:r>
    </w:p>
    <w:p>
      <w:pPr>
        <w:spacing w:after="120"/>
      </w:pPr>
      <w:r>
        <w:rPr>
          <w:rFonts w:ascii="Arial" w:cs="Arial" w:eastAsia="Arial" w:hAnsi="Arial"/>
          <w:sz w:val="22"/>
          <w:szCs w:val="22"/>
        </w:rPr>
        <w:t xml:space="preserve">10.1. Contractul poate înceta prin </w:t>
      </w:r>
      <w:r>
        <w:rPr>
          <w:rFonts w:ascii="Arial" w:cs="Arial" w:eastAsia="Arial" w:hAnsi="Arial"/>
          <w:b/>
          <w:bCs/>
          <w:sz w:val="22"/>
          <w:szCs w:val="22"/>
        </w:rPr>
        <w:t xml:space="preserve">acordul scris al ambelor Părți</w:t>
      </w:r>
      <w:r>
        <w:rPr>
          <w:rFonts w:ascii="Arial" w:cs="Arial" w:eastAsia="Arial" w:hAnsi="Arial"/>
          <w:sz w:val="22"/>
          <w:szCs w:val="22"/>
        </w:rPr>
        <w:t xml:space="preserve">, la data convenită de comun acord.</w:t>
      </w:r>
    </w:p>
    <w:p>
      <w:pPr>
        <w:spacing w:after="120"/>
      </w:pPr>
      <w:r>
        <w:rPr>
          <w:rFonts w:ascii="Arial" w:cs="Arial" w:eastAsia="Arial" w:hAnsi="Arial"/>
          <w:sz w:val="22"/>
          <w:szCs w:val="22"/>
        </w:rPr>
        <w:t xml:space="preserve">10.2. Oricare dintre Părți poate denunța unilateral Contractul cu un </w:t>
      </w:r>
      <w:r>
        <w:rPr>
          <w:rFonts w:ascii="Arial" w:cs="Arial" w:eastAsia="Arial" w:hAnsi="Arial"/>
          <w:b/>
          <w:bCs/>
          <w:sz w:val="22"/>
          <w:szCs w:val="22"/>
        </w:rPr>
        <w:t xml:space="preserve">preaviz scris de minimum 30 (treizeci) de zile calendaristice</w:t>
      </w:r>
      <w:r>
        <w:rPr>
          <w:rFonts w:ascii="Arial" w:cs="Arial" w:eastAsia="Arial" w:hAnsi="Arial"/>
          <w:sz w:val="22"/>
          <w:szCs w:val="22"/>
        </w:rPr>
        <w:t xml:space="preserve">.</w:t>
      </w:r>
    </w:p>
    <w:p>
      <w:pPr>
        <w:spacing w:after="120"/>
      </w:pPr>
      <w:r>
        <w:rPr>
          <w:rFonts w:ascii="Arial" w:cs="Arial" w:eastAsia="Arial" w:hAnsi="Arial"/>
          <w:sz w:val="22"/>
          <w:szCs w:val="22"/>
        </w:rPr>
        <w:t xml:space="preserve">10.3. Pe durata perioadei de preaviz, ambele Părți sunt obligate să continue îndeplinirea obligațiilor contractuale în mod neîntrerupt.</w:t>
      </w:r>
    </w:p>
    <w:p>
      <w:pPr>
        <w:spacing w:after="120"/>
      </w:pPr>
      <w:r>
        <w:rPr>
          <w:rFonts w:ascii="Arial" w:cs="Arial" w:eastAsia="Arial" w:hAnsi="Arial"/>
          <w:sz w:val="22"/>
          <w:szCs w:val="22"/>
        </w:rPr>
        <w:t xml:space="preserve">10.4. Contractul poate fi reziliat de drept, fără intervenția instanței, în caz de neexecutare substanțială a obligațiilor, după notificarea scrisă și acordarea unui termen de remediere de 15 zile calendaristice.</w:t>
      </w:r>
    </w:p>
    <w:p>
      <w:pPr>
        <w:spacing w:after="120"/>
      </w:pPr>
      <w:r>
        <w:rPr>
          <w:rFonts w:ascii="Arial" w:cs="Arial" w:eastAsia="Arial" w:hAnsi="Arial"/>
          <w:sz w:val="22"/>
          <w:szCs w:val="22"/>
        </w:rPr>
        <w:t xml:space="preserve">10.5. Încetarea Contractului nu afectează obligațiile scadente anterior datei încetării.</w:t>
      </w:r>
    </w:p>
    <w:p>
      <w:pPr>
        <w:pStyle w:val="Heading2"/>
        <w:spacing w:after="120" w:before="240"/>
        <w:jc w:val="left"/>
      </w:pPr>
      <w:r>
        <w:rPr>
          <w:rFonts w:ascii="Arial" w:cs="Arial" w:eastAsia="Arial" w:hAnsi="Arial"/>
          <w:b/>
          <w:bCs/>
          <w:sz w:val="26"/>
          <w:szCs w:val="26"/>
        </w:rPr>
        <w:t xml:space="preserve">Art. 11. PROPRIETATE INTELECTUALĂ</w:t>
      </w:r>
    </w:p>
    <w:p>
      <w:pPr>
        <w:spacing w:after="120"/>
      </w:pPr>
      <w:r>
        <w:rPr>
          <w:rFonts w:ascii="Arial" w:cs="Arial" w:eastAsia="Arial" w:hAnsi="Arial"/>
          <w:sz w:val="22"/>
          <w:szCs w:val="22"/>
        </w:rPr>
        <w:t xml:space="preserve">11.1. Platforma și elementele sale aparțin Prestatorului.</w:t>
      </w:r>
    </w:p>
    <w:p>
      <w:pPr>
        <w:spacing w:after="120"/>
      </w:pPr>
      <w:r>
        <w:rPr>
          <w:rFonts w:ascii="Arial" w:cs="Arial" w:eastAsia="Arial" w:hAnsi="Arial"/>
          <w:sz w:val="22"/>
          <w:szCs w:val="22"/>
        </w:rPr>
        <w:t xml:space="preserve">11.2. Partenerul păstrează drepturile asupra brandului și produselor.</w:t>
      </w:r>
    </w:p>
    <w:p>
      <w:pPr>
        <w:spacing w:after="120"/>
      </w:pPr>
      <w:r>
        <w:rPr>
          <w:rFonts w:ascii="Arial" w:cs="Arial" w:eastAsia="Arial" w:hAnsi="Arial"/>
          <w:sz w:val="22"/>
          <w:szCs w:val="22"/>
        </w:rPr>
        <w:t xml:space="preserve">11.3. Se acordă drept de utilizare limitat, neexclusiv, pe durata contractului.</w:t>
      </w:r>
    </w:p>
    <w:p>
      <w:pPr>
        <w:pStyle w:val="Heading2"/>
        <w:spacing w:after="120" w:before="240"/>
        <w:jc w:val="left"/>
      </w:pPr>
      <w:r>
        <w:rPr>
          <w:rFonts w:ascii="Arial" w:cs="Arial" w:eastAsia="Arial" w:hAnsi="Arial"/>
          <w:b/>
          <w:bCs/>
          <w:sz w:val="26"/>
          <w:szCs w:val="26"/>
        </w:rPr>
        <w:t xml:space="preserve">Art. 12. CONFIDENȚIALITATE</w:t>
      </w:r>
    </w:p>
    <w:p>
      <w:pPr>
        <w:spacing w:after="120"/>
      </w:pPr>
      <w:r>
        <w:rPr>
          <w:rFonts w:ascii="Arial" w:cs="Arial" w:eastAsia="Arial" w:hAnsi="Arial"/>
          <w:sz w:val="22"/>
          <w:szCs w:val="22"/>
        </w:rPr>
        <w:t xml:space="preserve">12.1. Părțile se obligă să păstreze confidențialitatea tuturor informațiilor.</w:t>
      </w:r>
    </w:p>
    <w:p>
      <w:pPr>
        <w:spacing w:after="120"/>
      </w:pPr>
      <w:r>
        <w:rPr>
          <w:rFonts w:ascii="Arial" w:cs="Arial" w:eastAsia="Arial" w:hAnsi="Arial"/>
          <w:sz w:val="22"/>
          <w:szCs w:val="22"/>
        </w:rPr>
        <w:t xml:space="preserve">12.2. Obligația se menține 2 ani de la încetarea Contractului.</w:t>
      </w:r>
    </w:p>
    <w:p>
      <w:pPr>
        <w:pStyle w:val="Heading2"/>
        <w:spacing w:after="120" w:before="240"/>
        <w:jc w:val="left"/>
      </w:pPr>
      <w:r>
        <w:rPr>
          <w:rFonts w:ascii="Arial" w:cs="Arial" w:eastAsia="Arial" w:hAnsi="Arial"/>
          <w:b/>
          <w:bCs/>
          <w:sz w:val="26"/>
          <w:szCs w:val="26"/>
        </w:rPr>
        <w:t xml:space="preserve">Art. 13. PROTECȚIA DATELOR CU CARACTER PERSONAL</w:t>
      </w:r>
    </w:p>
    <w:p>
      <w:pPr>
        <w:spacing w:after="120"/>
      </w:pPr>
      <w:r>
        <w:rPr>
          <w:rFonts w:ascii="Arial" w:cs="Arial" w:eastAsia="Arial" w:hAnsi="Arial"/>
          <w:sz w:val="22"/>
          <w:szCs w:val="22"/>
        </w:rPr>
        <w:t xml:space="preserve">13.1. Părțile se obligă să respecte GDPR și legislația națională privind protecția datelor cu caracter personal.</w:t>
      </w:r>
    </w:p>
    <w:p>
      <w:pPr>
        <w:pStyle w:val="Heading2"/>
        <w:spacing w:after="120" w:before="240"/>
        <w:jc w:val="left"/>
      </w:pPr>
      <w:r>
        <w:rPr>
          <w:rFonts w:ascii="Arial" w:cs="Arial" w:eastAsia="Arial" w:hAnsi="Arial"/>
          <w:b/>
          <w:bCs/>
          <w:sz w:val="26"/>
          <w:szCs w:val="26"/>
        </w:rPr>
        <w:t xml:space="preserve">Art. 14. PROTECȚIA CONSUMATORULUI</w:t>
      </w:r>
    </w:p>
    <w:p>
      <w:pPr>
        <w:spacing w:after="120"/>
      </w:pPr>
      <w:r>
        <w:rPr>
          <w:rFonts w:ascii="Arial" w:cs="Arial" w:eastAsia="Arial" w:hAnsi="Arial"/>
          <w:sz w:val="22"/>
          <w:szCs w:val="22"/>
        </w:rPr>
        <w:t xml:space="preserve">14.1. Partenerul este responsabil pentru conformitatea produselor, livrare, reclamații și respectarea OUG 34/2014.</w:t>
      </w:r>
    </w:p>
    <w:p>
      <w:pPr>
        <w:pStyle w:val="Heading2"/>
        <w:spacing w:after="120" w:before="240"/>
        <w:jc w:val="left"/>
      </w:pPr>
      <w:r>
        <w:rPr>
          <w:rFonts w:ascii="Arial" w:cs="Arial" w:eastAsia="Arial" w:hAnsi="Arial"/>
          <w:b/>
          <w:bCs/>
          <w:sz w:val="26"/>
          <w:szCs w:val="26"/>
        </w:rPr>
        <w:t xml:space="preserve">Art. 15. LIMITAREA RĂSPUNDERII</w:t>
      </w:r>
    </w:p>
    <w:p>
      <w:pPr>
        <w:spacing w:after="120"/>
      </w:pPr>
      <w:r>
        <w:rPr>
          <w:rFonts w:ascii="Arial" w:cs="Arial" w:eastAsia="Arial" w:hAnsi="Arial"/>
          <w:sz w:val="22"/>
          <w:szCs w:val="22"/>
        </w:rPr>
        <w:t xml:space="preserve">15.1. Prestatorul nu răspunde pentru calitatea produselor, livrare sau neconformități alimentare.</w:t>
      </w:r>
    </w:p>
    <w:p>
      <w:pPr>
        <w:spacing w:after="120"/>
      </w:pPr>
      <w:r>
        <w:rPr>
          <w:rFonts w:ascii="Arial" w:cs="Arial" w:eastAsia="Arial" w:hAnsi="Arial"/>
          <w:sz w:val="22"/>
          <w:szCs w:val="22"/>
        </w:rPr>
        <w:t xml:space="preserve">15.2. Răspunderea Prestatorului este limitată la valoarea taxei de platformă încasate în ultimele 3 luni.</w:t>
      </w:r>
    </w:p>
    <w:p>
      <w:pPr>
        <w:pStyle w:val="Heading2"/>
        <w:spacing w:after="120" w:before="240"/>
        <w:jc w:val="left"/>
      </w:pPr>
      <w:r>
        <w:rPr>
          <w:rFonts w:ascii="Arial" w:cs="Arial" w:eastAsia="Arial" w:hAnsi="Arial"/>
          <w:b/>
          <w:bCs/>
          <w:sz w:val="26"/>
          <w:szCs w:val="26"/>
        </w:rPr>
        <w:t xml:space="preserve">Art. 16. FORȚA MAJORĂ</w:t>
      </w:r>
    </w:p>
    <w:p>
      <w:pPr>
        <w:spacing w:after="120"/>
      </w:pPr>
      <w:r>
        <w:rPr>
          <w:rFonts w:ascii="Arial" w:cs="Arial" w:eastAsia="Arial" w:hAnsi="Arial"/>
          <w:sz w:val="22"/>
          <w:szCs w:val="22"/>
        </w:rPr>
        <w:t xml:space="preserve">16.1. Nicio parte nu răspunde pentru neexecutare în caz de forță majoră.</w:t>
      </w:r>
    </w:p>
    <w:p>
      <w:pPr>
        <w:spacing w:after="120"/>
      </w:pPr>
      <w:r>
        <w:rPr>
          <w:rFonts w:ascii="Arial" w:cs="Arial" w:eastAsia="Arial" w:hAnsi="Arial"/>
          <w:sz w:val="22"/>
          <w:szCs w:val="22"/>
        </w:rPr>
        <w:t xml:space="preserve">16.2. Partea afectată va notifica cealaltă parte în termen de 5 zile.</w:t>
      </w:r>
    </w:p>
    <w:p>
      <w:pPr>
        <w:pStyle w:val="Heading2"/>
        <w:spacing w:after="120" w:before="240"/>
        <w:jc w:val="left"/>
      </w:pPr>
      <w:r>
        <w:rPr>
          <w:rFonts w:ascii="Arial" w:cs="Arial" w:eastAsia="Arial" w:hAnsi="Arial"/>
          <w:b/>
          <w:bCs/>
          <w:sz w:val="26"/>
          <w:szCs w:val="26"/>
        </w:rPr>
        <w:t xml:space="preserve">Art. 17. LEGEA APLICABILĂ</w:t>
      </w:r>
    </w:p>
    <w:p>
      <w:pPr>
        <w:spacing w:after="120"/>
      </w:pPr>
      <w:r>
        <w:rPr>
          <w:rFonts w:ascii="Arial" w:cs="Arial" w:eastAsia="Arial" w:hAnsi="Arial"/>
          <w:sz w:val="22"/>
          <w:szCs w:val="22"/>
        </w:rPr>
        <w:t xml:space="preserve">17.1. Prezentul Contract este guvernat de legislația din România.</w:t>
      </w:r>
    </w:p>
    <w:p>
      <w:pPr>
        <w:spacing w:after="120"/>
      </w:pPr>
      <w:r>
        <w:rPr>
          <w:rFonts w:ascii="Arial" w:cs="Arial" w:eastAsia="Arial" w:hAnsi="Arial"/>
          <w:sz w:val="22"/>
          <w:szCs w:val="22"/>
        </w:rPr>
        <w:t xml:space="preserve">17.2. Litigiile vor fi soluționate pe cale amiabilă, iar în caz de eșec, de instanțele competente de la sediul Prestatorului.</w:t>
      </w:r>
    </w:p>
    <w:p>
      <w:pPr>
        <w:pStyle w:val="Heading2"/>
        <w:spacing w:after="120" w:before="240"/>
        <w:jc w:val="left"/>
      </w:pPr>
      <w:r>
        <w:rPr>
          <w:rFonts w:ascii="Arial" w:cs="Arial" w:eastAsia="Arial" w:hAnsi="Arial"/>
          <w:b/>
          <w:bCs/>
          <w:sz w:val="26"/>
          <w:szCs w:val="26"/>
        </w:rPr>
        <w:t xml:space="preserve">Art. 18. DISPOZIȚII FINALE</w:t>
      </w:r>
    </w:p>
    <w:p>
      <w:pPr>
        <w:spacing w:after="120"/>
      </w:pPr>
      <w:r>
        <w:rPr>
          <w:rFonts w:ascii="Arial" w:cs="Arial" w:eastAsia="Arial" w:hAnsi="Arial"/>
          <w:sz w:val="22"/>
          <w:szCs w:val="22"/>
        </w:rPr>
        <w:t xml:space="preserve">18.1. Modificarea prezentului Contract se face exclusiv prin acte adiționale semnate de ambele Părți.</w:t>
      </w:r>
    </w:p>
    <w:p>
      <w:pPr>
        <w:spacing w:after="120"/>
      </w:pPr>
      <w:r>
        <w:rPr>
          <w:rFonts w:ascii="Arial" w:cs="Arial" w:eastAsia="Arial" w:hAnsi="Arial"/>
          <w:sz w:val="22"/>
          <w:szCs w:val="22"/>
        </w:rPr>
        <w:t xml:space="preserve">18.2. Dacă oricare prevedere este declarată nulă, restul Contractului rămâne valabil.</w:t>
      </w:r>
    </w:p>
    <w:p>
      <w:pPr>
        <w:spacing w:after="120"/>
      </w:pPr>
      <w:r>
        <w:rPr>
          <w:rFonts w:ascii="Arial" w:cs="Arial" w:eastAsia="Arial" w:hAnsi="Arial"/>
          <w:sz w:val="22"/>
          <w:szCs w:val="22"/>
        </w:rPr>
        <w:t xml:space="preserve">18.3. Prezentul Contract s-a încheiat în 2 (două) exemplare originale.</w:t>
      </w:r>
    </w:p>
    <w:p>
      <w:pPr>
        <w:spacing w:after="120"/>
      </w:pPr>
      <w:r>
        <w:rPr>
          <w:rFonts w:ascii="Arial" w:cs="Arial" w:eastAsia="Arial" w:hAnsi="Arial"/>
          <w:sz w:val="22"/>
          <w:szCs w:val="22"/>
        </w:rPr>
        <w:t xml:space="preserve">18.4. Lista Comenzilor active se anexează prezentului Contract.</w:t>
      </w:r>
    </w:p>
    <w:p>
      <w:pPr>
        <w:spacing w:after="120"/>
      </w:pP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500"/>
            <w:tcBorders>
              <w:top w:val="single" w:color="000000" w:sz="1"/>
              <w:left w:val="single" w:color="000000" w:sz="1"/>
              <w:bottom w:val="single" w:color="000000" w:sz="1"/>
              <w:right w:val="single" w:color="000000" w:sz="1"/>
            </w:tcBorders>
            <w:shd w:fill="E8E8E8"/>
          </w:tcPr>
          <w:p>
            <w:pPr>
              <w:spacing w:after="60"/>
              <w:jc w:val="center"/>
            </w:pPr>
            <w:r>
              <w:rPr>
                <w:rFonts w:ascii="Arial" w:cs="Arial" w:eastAsia="Arial" w:hAnsi="Arial"/>
                <w:b/>
                <w:bCs/>
                <w:sz w:val="20"/>
                <w:szCs w:val="20"/>
              </w:rPr>
              <w:t xml:space="preserve"/>
            </w:r>
          </w:p>
        </w:tc>
        <w:tc>
          <w:tcPr>
            <w:tcW w:type="dxa" w:w="3750"/>
            <w:tcBorders>
              <w:top w:val="single" w:color="000000" w:sz="1"/>
              <w:left w:val="single" w:color="000000" w:sz="1"/>
              <w:bottom w:val="single" w:color="000000" w:sz="1"/>
              <w:right w:val="single" w:color="000000" w:sz="1"/>
            </w:tcBorders>
            <w:shd w:fill="E8E8E8"/>
          </w:tcPr>
          <w:p>
            <w:pPr>
              <w:spacing w:after="60"/>
              <w:jc w:val="center"/>
            </w:pPr>
            <w:r>
              <w:rPr>
                <w:rFonts w:ascii="Arial" w:cs="Arial" w:eastAsia="Arial" w:hAnsi="Arial"/>
                <w:b/>
                <w:bCs/>
                <w:sz w:val="20"/>
                <w:szCs w:val="20"/>
              </w:rPr>
              <w:t xml:space="preserve">PRESTATOR</w:t>
            </w:r>
          </w:p>
        </w:tc>
        <w:tc>
          <w:tcPr>
            <w:tcW w:type="dxa" w:w="3750"/>
            <w:tcBorders>
              <w:top w:val="single" w:color="000000" w:sz="1"/>
              <w:left w:val="single" w:color="000000" w:sz="1"/>
              <w:bottom w:val="single" w:color="000000" w:sz="1"/>
              <w:right w:val="single" w:color="000000" w:sz="1"/>
            </w:tcBorders>
            <w:shd w:fill="E8E8E8"/>
          </w:tcPr>
          <w:p>
            <w:pPr>
              <w:spacing w:after="60"/>
              <w:jc w:val="center"/>
            </w:pPr>
            <w:r>
              <w:rPr>
                <w:rFonts w:ascii="Arial" w:cs="Arial" w:eastAsia="Arial" w:hAnsi="Arial"/>
                <w:b/>
                <w:bCs/>
                <w:sz w:val="20"/>
                <w:szCs w:val="20"/>
              </w:rPr>
              <w:t xml:space="preserve">PARTENER</w:t>
            </w:r>
          </w:p>
        </w:tc>
      </w:tr>
      <w:tr>
        <w:tc>
          <w:tcPr>
            <w:tcW w:type="dxa" w:w="1500"/>
            <w:tcBorders>
              <w:top w:val="single" w:color="000000" w:sz="1"/>
              <w:left w:val="single" w:color="000000" w:sz="1"/>
              <w:bottom w:val="single" w:color="000000" w:sz="1"/>
              <w:right w:val="single" w:color="000000" w:sz="1"/>
            </w:tcBorders>
          </w:tcPr>
          <w:p>
            <w:pPr>
              <w:spacing w:after="60"/>
              <w:jc w:val="left"/>
            </w:pPr>
            <w:r>
              <w:rPr>
                <w:rFonts w:ascii="Arial" w:cs="Arial" w:eastAsia="Arial" w:hAnsi="Arial"/>
                <w:b/>
                <w:bCs/>
                <w:sz w:val="20"/>
                <w:szCs w:val="20"/>
              </w:rPr>
              <w:t xml:space="preserve">Entitate</w:t>
            </w:r>
          </w:p>
        </w:tc>
        <w:tc>
          <w:tcPr>
            <w:tcW w:type="dxa" w:w="3750"/>
            <w:tcBorders>
              <w:top w:val="single" w:color="000000" w:sz="1"/>
              <w:left w:val="single" w:color="000000" w:sz="1"/>
              <w:bottom w:val="single" w:color="000000" w:sz="1"/>
              <w:right w:val="single" w:color="000000" w:sz="1"/>
            </w:tcBorders>
          </w:tcPr>
          <w:p>
            <w:pPr>
              <w:spacing w:after="60"/>
              <w:jc w:val="left"/>
            </w:pPr>
            <w:r>
              <w:rPr>
                <w:rFonts w:ascii="Arial" w:cs="Arial" w:eastAsia="Arial" w:hAnsi="Arial"/>
                <w:b w:val="false"/>
                <w:bCs w:val="false"/>
                <w:sz w:val="20"/>
                <w:szCs w:val="20"/>
              </w:rPr>
              <w:t xml:space="preserve">EXARGROUPS S.R.L.</w:t>
            </w:r>
          </w:p>
        </w:tc>
        <w:tc>
          <w:tcPr>
            <w:tcW w:type="dxa" w:w="3750"/>
            <w:tcBorders>
              <w:top w:val="single" w:color="000000" w:sz="1"/>
              <w:left w:val="single" w:color="000000" w:sz="1"/>
              <w:bottom w:val="single" w:color="000000" w:sz="1"/>
              <w:right w:val="single" w:color="000000" w:sz="1"/>
            </w:tcBorders>
          </w:tcPr>
          <w:p>
            <w:pPr>
              <w:spacing w:after="60"/>
              <w:jc w:val="left"/>
            </w:pPr>
            <w:r>
              <w:rPr>
                <w:rFonts w:ascii="Arial" w:cs="Arial" w:eastAsia="Arial" w:hAnsi="Arial"/>
                <w:b w:val="false"/>
                <w:bCs w:val="false"/>
                <w:sz w:val="20"/>
                <w:szCs w:val="20"/>
              </w:rPr>
              <w:t xml:space="preserve">DEAK PROD SRL</w:t>
            </w:r>
          </w:p>
        </w:tc>
      </w:tr>
      <w:tr>
        <w:tc>
          <w:tcPr>
            <w:tcW w:type="dxa" w:w="1500"/>
            <w:tcBorders>
              <w:top w:val="single" w:color="000000" w:sz="1"/>
              <w:left w:val="single" w:color="000000" w:sz="1"/>
              <w:bottom w:val="single" w:color="000000" w:sz="1"/>
              <w:right w:val="single" w:color="000000" w:sz="1"/>
            </w:tcBorders>
          </w:tcPr>
          <w:p>
            <w:pPr>
              <w:spacing w:after="60"/>
              <w:jc w:val="left"/>
            </w:pPr>
            <w:r>
              <w:rPr>
                <w:rFonts w:ascii="Arial" w:cs="Arial" w:eastAsia="Arial" w:hAnsi="Arial"/>
                <w:b/>
                <w:bCs/>
                <w:sz w:val="20"/>
                <w:szCs w:val="20"/>
              </w:rPr>
              <w:t xml:space="preserve">CUI</w:t>
            </w:r>
          </w:p>
        </w:tc>
        <w:tc>
          <w:tcPr>
            <w:tcW w:type="dxa" w:w="3750"/>
            <w:tcBorders>
              <w:top w:val="single" w:color="000000" w:sz="1"/>
              <w:left w:val="single" w:color="000000" w:sz="1"/>
              <w:bottom w:val="single" w:color="000000" w:sz="1"/>
              <w:right w:val="single" w:color="000000" w:sz="1"/>
            </w:tcBorders>
          </w:tcPr>
          <w:p>
            <w:pPr>
              <w:spacing w:after="60"/>
              <w:jc w:val="left"/>
            </w:pPr>
            <w:r>
              <w:rPr>
                <w:rFonts w:ascii="Arial" w:cs="Arial" w:eastAsia="Arial" w:hAnsi="Arial"/>
                <w:b w:val="false"/>
                <w:bCs w:val="false"/>
                <w:sz w:val="20"/>
                <w:szCs w:val="20"/>
              </w:rPr>
              <w:t xml:space="preserve">RO41839221</w:t>
            </w:r>
          </w:p>
        </w:tc>
        <w:tc>
          <w:tcPr>
            <w:tcW w:type="dxa" w:w="3750"/>
            <w:tcBorders>
              <w:top w:val="single" w:color="000000" w:sz="1"/>
              <w:left w:val="single" w:color="000000" w:sz="1"/>
              <w:bottom w:val="single" w:color="000000" w:sz="1"/>
              <w:right w:val="single" w:color="000000" w:sz="1"/>
            </w:tcBorders>
          </w:tcPr>
          <w:p>
            <w:pPr>
              <w:spacing w:after="60"/>
              <w:jc w:val="left"/>
            </w:pPr>
            <w:r>
              <w:rPr>
                <w:rFonts w:ascii="Arial" w:cs="Arial" w:eastAsia="Arial" w:hAnsi="Arial"/>
                <w:b w:val="false"/>
                <w:bCs w:val="false"/>
                <w:sz w:val="20"/>
                <w:szCs w:val="20"/>
              </w:rPr>
              <w:t xml:space="preserve">4845288</w:t>
            </w:r>
          </w:p>
        </w:tc>
      </w:tr>
      <w:tr>
        <w:tc>
          <w:tcPr>
            <w:tcW w:type="dxa" w:w="1500"/>
            <w:tcBorders>
              <w:top w:val="single" w:color="000000" w:sz="1"/>
              <w:left w:val="single" w:color="000000" w:sz="1"/>
              <w:bottom w:val="single" w:color="000000" w:sz="1"/>
              <w:right w:val="single" w:color="000000" w:sz="1"/>
            </w:tcBorders>
          </w:tcPr>
          <w:p>
            <w:pPr>
              <w:spacing w:after="60"/>
              <w:jc w:val="left"/>
            </w:pPr>
            <w:r>
              <w:rPr>
                <w:rFonts w:ascii="Arial" w:cs="Arial" w:eastAsia="Arial" w:hAnsi="Arial"/>
                <w:b/>
                <w:bCs/>
                <w:sz w:val="20"/>
                <w:szCs w:val="20"/>
              </w:rPr>
              <w:t xml:space="preserve">Semnătură</w:t>
            </w:r>
          </w:p>
        </w:tc>
        <w:tc>
          <w:tcPr>
            <w:tcW w:type="dxa" w:w="3750"/>
            <w:tcBorders>
              <w:top w:val="single" w:color="000000" w:sz="1"/>
              <w:left w:val="single" w:color="000000" w:sz="1"/>
              <w:bottom w:val="single" w:color="000000" w:sz="1"/>
              <w:right w:val="single" w:color="000000" w:sz="1"/>
            </w:tcBorders>
          </w:tcPr>
          <w:p>
            <w:pPr>
              <w:spacing w:after="60"/>
              <w:jc w:val="left"/>
            </w:pPr>
            <w:r>
              <w:rPr>
                <w:rFonts w:ascii="Arial" w:cs="Arial" w:eastAsia="Arial" w:hAnsi="Arial"/>
                <w:b w:val="false"/>
                <w:bCs w:val="false"/>
                <w:sz w:val="20"/>
                <w:szCs w:val="20"/>
              </w:rPr>
              <w:t xml:space="preserve">________________________</w:t>
            </w:r>
          </w:p>
        </w:tc>
        <w:tc>
          <w:tcPr>
            <w:tcW w:type="dxa" w:w="3750"/>
            <w:tcBorders>
              <w:top w:val="single" w:color="000000" w:sz="1"/>
              <w:left w:val="single" w:color="000000" w:sz="1"/>
              <w:bottom w:val="single" w:color="000000" w:sz="1"/>
              <w:right w:val="single" w:color="000000" w:sz="1"/>
            </w:tcBorders>
          </w:tcPr>
          <w:p>
            <w:pPr>
              <w:spacing w:after="60"/>
              <w:jc w:val="left"/>
            </w:pPr>
            <w:r>
              <w:rPr>
                <w:rFonts w:ascii="Arial" w:cs="Arial" w:eastAsia="Arial" w:hAnsi="Arial"/>
                <w:b w:val="false"/>
                <w:bCs w:val="false"/>
                <w:sz w:val="20"/>
                <w:szCs w:val="20"/>
              </w:rPr>
              <w:t xml:space="preserve">________________________</w:t>
            </w:r>
          </w:p>
        </w:tc>
      </w:tr>
      <w:tr>
        <w:tc>
          <w:tcPr>
            <w:tcW w:type="dxa" w:w="1500"/>
            <w:tcBorders>
              <w:top w:val="single" w:color="000000" w:sz="1"/>
              <w:left w:val="single" w:color="000000" w:sz="1"/>
              <w:bottom w:val="single" w:color="000000" w:sz="1"/>
              <w:right w:val="single" w:color="000000" w:sz="1"/>
            </w:tcBorders>
          </w:tcPr>
          <w:p>
            <w:pPr>
              <w:spacing w:after="60"/>
              <w:jc w:val="left"/>
            </w:pPr>
            <w:r>
              <w:rPr>
                <w:rFonts w:ascii="Arial" w:cs="Arial" w:eastAsia="Arial" w:hAnsi="Arial"/>
                <w:b/>
                <w:bCs/>
                <w:sz w:val="20"/>
                <w:szCs w:val="20"/>
              </w:rPr>
              <w:t xml:space="preserve">Nume, funcție</w:t>
            </w:r>
          </w:p>
        </w:tc>
        <w:tc>
          <w:tcPr>
            <w:tcW w:type="dxa" w:w="3750"/>
            <w:tcBorders>
              <w:top w:val="single" w:color="000000" w:sz="1"/>
              <w:left w:val="single" w:color="000000" w:sz="1"/>
              <w:bottom w:val="single" w:color="000000" w:sz="1"/>
              <w:right w:val="single" w:color="000000" w:sz="1"/>
            </w:tcBorders>
          </w:tcPr>
          <w:p>
            <w:pPr>
              <w:spacing w:after="60"/>
              <w:jc w:val="left"/>
            </w:pPr>
            <w:r>
              <w:rPr>
                <w:rFonts w:ascii="Arial" w:cs="Arial" w:eastAsia="Arial" w:hAnsi="Arial"/>
                <w:b w:val="false"/>
                <w:bCs w:val="false"/>
                <w:sz w:val="20"/>
                <w:szCs w:val="20"/>
              </w:rPr>
              <w:t xml:space="preserve">Becze Szabolcs, Administrator</w:t>
            </w:r>
          </w:p>
        </w:tc>
        <w:tc>
          <w:tcPr>
            <w:tcW w:type="dxa" w:w="3750"/>
            <w:tcBorders>
              <w:top w:val="single" w:color="000000" w:sz="1"/>
              <w:left w:val="single" w:color="000000" w:sz="1"/>
              <w:bottom w:val="single" w:color="000000" w:sz="1"/>
              <w:right w:val="single" w:color="000000" w:sz="1"/>
            </w:tcBorders>
          </w:tcPr>
          <w:p>
            <w:pPr>
              <w:spacing w:after="60"/>
              <w:jc w:val="left"/>
            </w:pPr>
            <w:r>
              <w:rPr>
                <w:rFonts w:ascii="Arial" w:cs="Arial" w:eastAsia="Arial" w:hAnsi="Arial"/>
                <w:b w:val="false"/>
                <w:bCs w:val="false"/>
                <w:sz w:val="20"/>
                <w:szCs w:val="20"/>
              </w:rPr>
              <w:t xml:space="preserve">Deák Sándor, Administrator</w:t>
            </w:r>
          </w:p>
        </w:tc>
      </w:tr>
      <w:tr>
        <w:tc>
          <w:tcPr>
            <w:tcW w:type="dxa" w:w="1500"/>
            <w:tcBorders>
              <w:top w:val="single" w:color="000000" w:sz="1"/>
              <w:left w:val="single" w:color="000000" w:sz="1"/>
              <w:bottom w:val="single" w:color="000000" w:sz="1"/>
              <w:right w:val="single" w:color="000000" w:sz="1"/>
            </w:tcBorders>
          </w:tcPr>
          <w:p>
            <w:pPr>
              <w:spacing w:after="60"/>
              <w:jc w:val="left"/>
            </w:pPr>
            <w:r>
              <w:rPr>
                <w:rFonts w:ascii="Arial" w:cs="Arial" w:eastAsia="Arial" w:hAnsi="Arial"/>
                <w:b/>
                <w:bCs/>
                <w:sz w:val="20"/>
                <w:szCs w:val="20"/>
              </w:rPr>
              <w:t xml:space="preserve">Data</w:t>
            </w:r>
          </w:p>
        </w:tc>
        <w:tc>
          <w:tcPr>
            <w:tcW w:type="dxa" w:w="3750"/>
            <w:tcBorders>
              <w:top w:val="single" w:color="000000" w:sz="1"/>
              <w:left w:val="single" w:color="000000" w:sz="1"/>
              <w:bottom w:val="single" w:color="000000" w:sz="1"/>
              <w:right w:val="single" w:color="000000" w:sz="1"/>
            </w:tcBorders>
          </w:tcPr>
          <w:p>
            <w:pPr>
              <w:spacing w:after="60"/>
              <w:jc w:val="left"/>
            </w:pPr>
            <w:r>
              <w:rPr>
                <w:rFonts w:ascii="Arial" w:cs="Arial" w:eastAsia="Arial" w:hAnsi="Arial"/>
                <w:b w:val="false"/>
                <w:bCs w:val="false"/>
                <w:sz w:val="20"/>
                <w:szCs w:val="20"/>
              </w:rPr>
              <w:t xml:space="preserve">________________________</w:t>
            </w:r>
          </w:p>
        </w:tc>
        <w:tc>
          <w:tcPr>
            <w:tcW w:type="dxa" w:w="3750"/>
            <w:tcBorders>
              <w:top w:val="single" w:color="000000" w:sz="1"/>
              <w:left w:val="single" w:color="000000" w:sz="1"/>
              <w:bottom w:val="single" w:color="000000" w:sz="1"/>
              <w:right w:val="single" w:color="000000" w:sz="1"/>
            </w:tcBorders>
          </w:tcPr>
          <w:p>
            <w:pPr>
              <w:spacing w:after="60"/>
              <w:jc w:val="left"/>
            </w:pPr>
            <w:r>
              <w:rPr>
                <w:rFonts w:ascii="Arial" w:cs="Arial" w:eastAsia="Arial" w:hAnsi="Arial"/>
                <w:b w:val="false"/>
                <w:bCs w:val="false"/>
                <w:sz w:val="20"/>
                <w:szCs w:val="20"/>
              </w:rPr>
              <w:t xml:space="preserve">________________________</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din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Contract-Cadru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2026-04-22T07:19:20.656Z</dcterms:created>
  <dcterms:modified xsi:type="dcterms:W3CDTF">2026-04-22T07:19:20.662Z</dcterms:modified>
</cp:coreProperties>
</file>

<file path=docProps/custom.xml><?xml version="1.0" encoding="utf-8"?>
<Properties xmlns="http://schemas.openxmlformats.org/officeDocument/2006/custom-properties" xmlns:vt="http://schemas.openxmlformats.org/officeDocument/2006/docPropsVTypes"/>
</file>