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COMANDĂ NR. 1</w:t>
      </w:r>
    </w:p>
    <w:p>
      <w:pPr>
        <w:spacing w:after="120"/>
        <w:jc w:val="center"/>
      </w:pPr>
      <w:r>
        <w:rPr>
          <w:i/>
          <w:iCs/>
          <w:sz w:val="24"/>
          <w:szCs w:val="24"/>
        </w:rPr>
        <w:t xml:space="preserve">(Faza Pilot – Phase 1)</w:t>
      </w:r>
    </w:p>
    <w:p>
      <w:pPr>
        <w:spacing w:after="300"/>
        <w:jc w:val="center"/>
      </w:pPr>
      <w:r>
        <w:rPr>
          <w:sz w:val="22"/>
          <w:szCs w:val="22"/>
        </w:rPr>
        <w:t xml:space="preserve">la Contractul-cadru de colaborare și prestări servicii digitale</w:t>
      </w:r>
    </w:p>
    <w:p>
      <w:pPr>
        <w:spacing w:after="300"/>
        <w:jc w:val="center"/>
      </w:pPr>
      <w:r>
        <w:rPr>
          <w:sz w:val="22"/>
          <w:szCs w:val="22"/>
        </w:rPr>
        <w:t xml:space="preserve">din data de [DATA CONTRACT-CADRU]</w:t>
      </w:r>
    </w:p>
    <w:p>
      <w:pPr>
        <w:spacing w:after="200"/>
      </w:pPr>
      <w:r>
        <w:t xml:space="preserve">Încheiată astăzi, [DATA], între:</w:t>
      </w:r>
    </w:p>
    <w:p>
      <w:pPr>
        <w:spacing w:after="120"/>
      </w:pPr>
      <w:r>
        <w:rPr>
          <w:b/>
          <w:bCs/>
        </w:rPr>
        <w:t xml:space="preserve">Prestatorul: SC EXAR LABS SRL</w:t>
      </w:r>
    </w:p>
    <w:p>
      <w:pPr>
        <w:spacing w:after="300"/>
      </w:pPr>
      <w:r>
        <w:rPr>
          <w:b/>
          <w:bCs/>
        </w:rPr>
        <w:t xml:space="preserve">Partenerul: SC DEÁK HÚSMÍVES SRL</w:t>
      </w:r>
    </w:p>
    <w:p>
      <w:pPr>
        <w:spacing w:after="120"/>
      </w:pPr>
      <w:r>
        <w:t xml:space="preserve">(definiții conform Contractului-cadru)</w:t>
      </w:r>
    </w:p>
    <w:p>
      <w:pPr>
        <w:pStyle w:val="Heading2"/>
      </w:pPr>
      <w:r>
        <w:t xml:space="preserve">Art. 1. OBIECTUL COMENZII</w:t>
      </w:r>
    </w:p>
    <w:p>
      <w:pPr>
        <w:spacing w:after="120"/>
      </w:pPr>
      <w:r>
        <w:t xml:space="preserve">1.1. Prezenta comandă stabilește condițiile comerciale pentru Faza Pilot (Phase 1) a colaborării, respectiv lansarea și operarea Platformei deakhus.ro pentru vânzarea online a produselor Partenerului în zona Odorheiu Secuiesc.</w:t>
      </w:r>
    </w:p>
    <w:p>
      <w:pPr>
        <w:spacing w:after="120"/>
      </w:pPr>
      <w:r>
        <w:t xml:space="preserve">1.2. Faza Pilot include:</w:t>
      </w:r>
    </w:p>
    <w:p>
      <w:pPr>
        <w:spacing w:after="120"/>
        <w:ind w:left="360"/>
      </w:pPr>
      <w:r>
        <w:t xml:space="preserve">a) Dezvoltarea și menținerea aplicației web (webapp) pentru comenzi online;</w:t>
      </w:r>
    </w:p>
    <w:p>
      <w:pPr>
        <w:spacing w:after="120"/>
        <w:ind w:left="360"/>
      </w:pPr>
      <w:r>
        <w:t xml:space="preserve">b) Sistem de gestionare a comenzilor (admin panel);</w:t>
      </w:r>
    </w:p>
    <w:p>
      <w:pPr>
        <w:spacing w:after="120"/>
        <w:ind w:left="360"/>
      </w:pPr>
      <w:r>
        <w:t xml:space="preserve">c) Analiză de date și raportare (Firebase Analytics);</w:t>
      </w:r>
    </w:p>
    <w:p>
      <w:pPr>
        <w:spacing w:after="120"/>
        <w:ind w:left="360"/>
      </w:pPr>
      <w:r>
        <w:t xml:space="preserve">d) Suport tehnic pe durata fazei pilot.</w:t>
      </w:r>
    </w:p>
    <w:p>
      <w:pPr>
        <w:pStyle w:val="Heading2"/>
      </w:pPr>
      <w:r>
        <w:t xml:space="preserve">Art. 2. DURATA</w:t>
      </w:r>
    </w:p>
    <w:p>
      <w:pPr>
        <w:spacing w:after="120"/>
      </w:pPr>
      <w:r>
        <w:t xml:space="preserve">2.1. Prezenta comandă intră în vigoare la data semnării și are o durată inițială de 6 (șase) luni.</w:t>
      </w:r>
    </w:p>
    <w:p>
      <w:pPr>
        <w:spacing w:after="120"/>
      </w:pPr>
      <w:r>
        <w:t xml:space="preserve">2.2. La expirarea perioadei inițiale, comanda se prelungește automat cu perioade succesive de câte 3 (trei) luni, cu excepția cazului în care oricare dintre Părți notifică cealaltă Parte cu cel puțin 30 de zile înainte de expirarea perioadei curente.</w:t>
      </w:r>
    </w:p>
    <w:p>
      <w:pPr>
        <w:spacing w:after="120"/>
      </w:pPr>
      <w:r>
        <w:t xml:space="preserve">2.3. Oricare dintre Părți poate solicita renegocierea condițiilor comerciale cu 30 de zile înainte de expirarea oricărei perioade.</w:t>
      </w:r>
    </w:p>
    <w:p>
      <w:pPr>
        <w:pStyle w:val="Heading2"/>
      </w:pPr>
      <w:r>
        <w:t xml:space="preserve">Art. 3. SERVICIILE PRESTATORULUI</w:t>
      </w:r>
    </w:p>
    <w:p>
      <w:pPr>
        <w:spacing w:after="120"/>
      </w:pPr>
      <w:r>
        <w:t xml:space="preserve">3.1. Pe durata prezentei comenzi, Prestatorul va asigura:</w:t>
      </w:r>
    </w:p>
    <w:p>
      <w:pPr>
        <w:spacing w:after="120"/>
        <w:ind w:left="360"/>
      </w:pPr>
      <w:r>
        <w:t xml:space="preserve">a) Dezvoltarea continuă a Platformei conform roadmap-ului agreat (versiunile v0.1 – v0.5);</w:t>
      </w:r>
    </w:p>
    <w:p>
      <w:pPr>
        <w:spacing w:after="120"/>
        <w:ind w:left="360"/>
      </w:pPr>
      <w:r>
        <w:t xml:space="preserve">b) Hosting și infrastructură tehnică (server, domeniu, certificat SSL);</w:t>
      </w:r>
    </w:p>
    <w:p>
      <w:pPr>
        <w:spacing w:after="120"/>
        <w:ind w:left="360"/>
      </w:pPr>
      <w:r>
        <w:t xml:space="preserve">c) Monitorizarea performanței și analiză de date;</w:t>
      </w:r>
    </w:p>
    <w:p>
      <w:pPr>
        <w:spacing w:after="120"/>
        <w:ind w:left="360"/>
      </w:pPr>
      <w:r>
        <w:t xml:space="preserve">d) Suport tehnic în timpul programului de lucru (L-V, 9:00–17:00);</w:t>
      </w:r>
    </w:p>
    <w:p>
      <w:pPr>
        <w:spacing w:after="120"/>
        <w:ind w:left="360"/>
      </w:pPr>
      <w:r>
        <w:t xml:space="preserve">e) Actualizarea Platformei conform feedback-ului colectat.</w:t>
      </w:r>
    </w:p>
    <w:p>
      <w:pPr>
        <w:spacing w:after="120"/>
      </w:pPr>
      <w:r>
        <w:t xml:space="preserve">3.2. Costurile de dezvoltare și operare din Faza Pilot sunt suportate integral de Prestator, ca investiție proprie, în limita plafonului de risc (stop cap) de [SUMA] EUR.</w:t>
      </w:r>
    </w:p>
    <w:p>
      <w:pPr>
        <w:pStyle w:val="Heading2"/>
      </w:pPr>
      <w:r>
        <w:t xml:space="preserve">Art. 4. OBLIGAȚIILE PARTENERULUI</w:t>
      </w:r>
    </w:p>
    <w:p>
      <w:pPr>
        <w:spacing w:after="120"/>
      </w:pPr>
      <w:r>
        <w:t xml:space="preserve">4.1. Pe durata prezentei comenzi, Partenerul se obligă să:</w:t>
      </w:r>
    </w:p>
    <w:p>
      <w:pPr>
        <w:spacing w:after="120"/>
        <w:ind w:left="360"/>
      </w:pPr>
      <w:r>
        <w:t xml:space="preserve">a) Mențină actualizat catalogul de produse (prețuri, disponibilitate, descrieri);</w:t>
      </w:r>
    </w:p>
    <w:p>
      <w:pPr>
        <w:spacing w:after="120"/>
        <w:ind w:left="360"/>
      </w:pPr>
      <w:r>
        <w:t xml:space="preserve">b) Proceseze comenzile primite prin Platformă în termen de maximum 24 de ore;</w:t>
      </w:r>
    </w:p>
    <w:p>
      <w:pPr>
        <w:spacing w:after="120"/>
        <w:ind w:left="360"/>
      </w:pPr>
      <w:r>
        <w:t xml:space="preserve">c) Asigure livrarea conform standardelor de calitate și siguranță alimentară;</w:t>
      </w:r>
    </w:p>
    <w:p>
      <w:pPr>
        <w:spacing w:after="120"/>
        <w:ind w:left="360"/>
      </w:pPr>
      <w:r>
        <w:t xml:space="preserve">d) Mențină toate autorizațiile necesare (inclusiv ANSVSA);</w:t>
      </w:r>
    </w:p>
    <w:p>
      <w:pPr>
        <w:spacing w:after="120"/>
        <w:ind w:left="360"/>
      </w:pPr>
      <w:r>
        <w:t xml:space="preserve">e) Informeze Prestatorul cu privire la orice schimbare de prețuri sau disponibilitate în termen de 24 de ore.</w:t>
      </w:r>
    </w:p>
    <w:p>
      <w:pPr>
        <w:pStyle w:val="Heading2"/>
      </w:pPr>
      <w:r>
        <w:t xml:space="preserve">Art. 5. MODELUL ECONOMIC</w:t>
      </w:r>
    </w:p>
    <w:p>
      <w:pPr>
        <w:spacing w:after="120"/>
      </w:pPr>
      <w:r>
        <w:rPr>
          <w:b/>
          <w:bCs/>
        </w:rPr>
        <w:t xml:space="preserve">5.1. Structura de cost:</w:t>
      </w:r>
    </w:p>
    <w:p>
      <w:pPr>
        <w:spacing w:after="120"/>
      </w:pPr>
      <w:r>
        <w:t xml:space="preserve">Prețul produselor vândute prin Platformă include un adăugator comercial (retail cost) de 19,5% față de prețul en-gros al Partenerului, structurat astfel: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50%"/>
          </w:tcPr>
          <w:p>
            <w:pPr>
              <w:spacing w:after="120"/>
            </w:pPr>
            <w:r>
              <w:rPr>
                <w:b/>
                <w:bCs/>
              </w:rPr>
              <w:t xml:space="preserve">Componentă</w:t>
            </w:r>
          </w:p>
        </w:tc>
        <w:tc>
          <w:tcPr>
            <w:tcW w:type="pct" w:w="25%"/>
          </w:tcPr>
          <w:p>
            <w:pPr>
              <w:spacing w:after="120"/>
            </w:pPr>
            <w:r>
              <w:rPr>
                <w:b/>
                <w:bCs/>
              </w:rPr>
              <w:t xml:space="preserve">Procent</w:t>
            </w:r>
          </w:p>
        </w:tc>
        <w:tc>
          <w:tcPr>
            <w:tcW w:type="pct" w:w="25%"/>
          </w:tcPr>
          <w:p>
            <w:pPr>
              <w:spacing w:after="120"/>
            </w:pPr>
            <w:r>
              <w:rPr>
                <w:b/>
                <w:bCs/>
              </w:rPr>
              <w:t xml:space="preserve">Beneficiar</w:t>
            </w:r>
          </w:p>
        </w:tc>
      </w:tr>
      <w:tr>
        <w:tc>
          <w:p>
            <w:pPr>
              <w:spacing w:after="120"/>
            </w:pPr>
            <w:r>
              <w:t xml:space="preserve">Discount client (Customer Savings)</w:t>
            </w:r>
          </w:p>
        </w:tc>
        <w:tc>
          <w:p>
            <w:pPr>
              <w:spacing w:after="120"/>
            </w:pPr>
            <w:r>
              <w:t xml:space="preserve">3,0%</w:t>
            </w:r>
          </w:p>
        </w:tc>
        <w:tc>
          <w:p>
            <w:pPr>
              <w:spacing w:after="120"/>
            </w:pPr>
            <w:r>
              <w:t xml:space="preserve">Clientul final</w:t>
            </w:r>
          </w:p>
        </w:tc>
      </w:tr>
      <w:tr>
        <w:tc>
          <w:p>
            <w:pPr>
              <w:spacing w:after="120"/>
            </w:pPr>
            <w:r>
              <w:t xml:space="preserve">Comision platformă (Platform Fee)</w:t>
            </w:r>
          </w:p>
        </w:tc>
        <w:tc>
          <w:p>
            <w:pPr>
              <w:spacing w:after="120"/>
            </w:pPr>
            <w:r>
              <w:t xml:space="preserve">6,6%</w:t>
            </w:r>
          </w:p>
        </w:tc>
        <w:tc>
          <w:p>
            <w:pPr>
              <w:spacing w:after="120"/>
            </w:pPr>
            <w:r>
              <w:t xml:space="preserve">Prestator (Exar Labs)</w:t>
            </w:r>
          </w:p>
        </w:tc>
      </w:tr>
      <w:tr>
        <w:tc>
          <w:p>
            <w:pPr>
              <w:spacing w:after="120"/>
            </w:pPr>
            <w:r>
              <w:t xml:space="preserve">Marja Partener (Partner Margin)</w:t>
            </w:r>
          </w:p>
        </w:tc>
        <w:tc>
          <w:p>
            <w:pPr>
              <w:spacing w:after="120"/>
            </w:pPr>
            <w:r>
              <w:t xml:space="preserve">9,9%</w:t>
            </w:r>
          </w:p>
        </w:tc>
        <w:tc>
          <w:p>
            <w:pPr>
              <w:spacing w:after="120"/>
            </w:pPr>
            <w:r>
              <w:t xml:space="preserve">Partener (Deák HúsMíves)</w:t>
            </w:r>
          </w:p>
        </w:tc>
      </w:tr>
      <w:tr>
        <w:tc>
          <w:p>
            <w:pPr>
              <w:spacing w:after="120"/>
            </w:pPr>
            <w:r>
              <w:rPr>
                <w:b/>
                <w:bCs/>
              </w:rPr>
              <w:t xml:space="preserve">TOTAL retail cost</w:t>
            </w:r>
          </w:p>
        </w:tc>
        <w:tc>
          <w:p>
            <w:pPr>
              <w:spacing w:after="120"/>
            </w:pPr>
            <w:r>
              <w:rPr>
                <w:b/>
                <w:bCs/>
              </w:rPr>
              <w:t xml:space="preserve">19,5%</w:t>
            </w:r>
          </w:p>
        </w:tc>
        <w:tc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5.2. Remunerația Prestatorului:</w:t>
      </w:r>
    </w:p>
    <w:p>
      <w:pPr>
        <w:spacing w:after="120"/>
      </w:pPr>
      <w:r>
        <w:t xml:space="preserve">Prestatorul primește un comision de 6,6% (TVA inclus / nu se aplică în cazul microentreprizei) din valoarea vânzărilor eligibile.</w:t>
      </w:r>
    </w:p>
    <w:p>
      <w:pPr>
        <w:spacing w:after="120"/>
      </w:pPr>
      <w:r>
        <w:rPr>
          <w:b/>
          <w:bCs/>
        </w:rPr>
        <w:t xml:space="preserve">5.3. Vânzări eligibile:</w:t>
      </w:r>
    </w:p>
    <w:p>
      <w:pPr>
        <w:spacing w:after="120"/>
      </w:pPr>
      <w:r>
        <w:t xml:space="preserve">Se consideră vânzări eligibile exclusiv comenzile care îndeplinesc cumulativ următoarele condiții:</w:t>
      </w:r>
    </w:p>
    <w:p>
      <w:pPr>
        <w:spacing w:after="120"/>
        <w:ind w:left="360"/>
      </w:pPr>
      <w:r>
        <w:t xml:space="preserve">a) au fost plasate prin Platformă;</w:t>
      </w:r>
    </w:p>
    <w:p>
      <w:pPr>
        <w:spacing w:after="120"/>
        <w:ind w:left="360"/>
      </w:pPr>
      <w:r>
        <w:t xml:space="preserve">b) au fost livrate clientului;</w:t>
      </w:r>
    </w:p>
    <w:p>
      <w:pPr>
        <w:spacing w:after="120"/>
        <w:ind w:left="360"/>
      </w:pPr>
      <w:r>
        <w:t xml:space="preserve">c) au fost încasate integral;</w:t>
      </w:r>
    </w:p>
    <w:p>
      <w:pPr>
        <w:spacing w:after="120"/>
        <w:ind w:left="360"/>
      </w:pPr>
      <w:r>
        <w:t xml:space="preserve">d) nu au fost anulate sau returnate.</w:t>
      </w:r>
    </w:p>
    <w:p>
      <w:pPr>
        <w:pStyle w:val="Heading2"/>
      </w:pPr>
      <w:r>
        <w:t xml:space="preserve">Art. 6. FACTURARE ȘI PLATĂ</w:t>
      </w:r>
    </w:p>
    <w:p>
      <w:pPr>
        <w:spacing w:after="120"/>
      </w:pPr>
      <w:r>
        <w:t xml:space="preserve">6.1. În Faza Pilot, plata se efectuează exclusiv prin numerar la livrare (ramburs).</w:t>
      </w:r>
    </w:p>
    <w:p>
      <w:pPr>
        <w:spacing w:after="120"/>
      </w:pPr>
      <w:r>
        <w:t xml:space="preserve">6.2. Prestatorul va emite factură lunară pentru comisionul de platformă, până la data de 5 a lunii următoare.</w:t>
      </w:r>
    </w:p>
    <w:p>
      <w:pPr>
        <w:spacing w:after="120"/>
      </w:pPr>
      <w:r>
        <w:t xml:space="preserve">6.3. Termenul de plată este de 15 zile calendaristice de la emiterea facturii.</w:t>
      </w:r>
    </w:p>
    <w:p>
      <w:pPr>
        <w:spacing w:after="120"/>
      </w:pPr>
      <w:r>
        <w:t xml:space="preserve">6.4. Baza de calcul a facturii o constituie raportul de vânzări generat automat de Platformă, pus la dispoziția ambelor Părți.</w:t>
      </w:r>
    </w:p>
    <w:p>
      <w:pPr>
        <w:pStyle w:val="Heading2"/>
      </w:pPr>
      <w:r>
        <w:t xml:space="preserve">Art. 7. INDICATORI DE PERFORMANȚĂ (KPI)</w:t>
      </w:r>
    </w:p>
    <w:p>
      <w:pPr>
        <w:spacing w:after="120"/>
      </w:pPr>
      <w:r>
        <w:t xml:space="preserve">7.1. Pe durata Fazei Pilot, Părțile monitorizează următorii indicatori: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</w:tcPr>
          <w:p>
            <w:pPr>
              <w:spacing w:after="120"/>
            </w:pPr>
            <w:r>
              <w:rPr>
                <w:b/>
                <w:bCs/>
              </w:rPr>
              <w:t xml:space="preserve">KPI</w:t>
            </w:r>
          </w:p>
        </w:tc>
        <w:tc>
          <w:tcPr>
            <w:tcW w:type="pct" w:w="30%"/>
          </w:tcPr>
          <w:p>
            <w:pPr>
              <w:spacing w:after="120"/>
            </w:pPr>
            <w:r>
              <w:rPr>
                <w:b/>
                <w:bCs/>
              </w:rPr>
              <w:t xml:space="preserve">Țintă</w:t>
            </w:r>
          </w:p>
        </w:tc>
        <w:tc>
          <w:tcPr>
            <w:tcW w:type="pct" w:w="30%"/>
          </w:tcPr>
          <w:p>
            <w:pPr>
              <w:spacing w:after="120"/>
            </w:pPr>
            <w:r>
              <w:rPr>
                <w:b/>
                <w:bCs/>
              </w:rPr>
              <w:t xml:space="preserve">Perioadă evaluare</w:t>
            </w:r>
          </w:p>
        </w:tc>
      </w:tr>
      <w:tr>
        <w:tc>
          <w:p>
            <w:pPr>
              <w:spacing w:after="120"/>
            </w:pPr>
            <w:r>
              <w:t xml:space="preserve">Utilizatori înregistrați</w:t>
            </w:r>
          </w:p>
        </w:tc>
        <w:tc>
          <w:p>
            <w:pPr>
              <w:spacing w:after="120"/>
            </w:pPr>
            <w:r>
              <w:t xml:space="preserve">≥ 30</w:t>
            </w:r>
          </w:p>
        </w:tc>
        <w:tc>
          <w:p>
            <w:pPr>
              <w:spacing w:after="120"/>
            </w:pPr>
            <w:r>
              <w:t xml:space="preserve">30 zile de la lansare</w:t>
            </w:r>
          </w:p>
        </w:tc>
      </w:tr>
      <w:tr>
        <w:tc>
          <w:p>
            <w:pPr>
              <w:spacing w:after="120"/>
            </w:pPr>
            <w:r>
              <w:t xml:space="preserve">Comenzi finalizate</w:t>
            </w:r>
          </w:p>
        </w:tc>
        <w:tc>
          <w:p>
            <w:pPr>
              <w:spacing w:after="120"/>
            </w:pPr>
            <w:r>
              <w:t xml:space="preserve">≥ 15</w:t>
            </w:r>
          </w:p>
        </w:tc>
        <w:tc>
          <w:p>
            <w:pPr>
              <w:spacing w:after="120"/>
            </w:pPr>
            <w:r>
              <w:t xml:space="preserve">30 zile de la lansare</w:t>
            </w:r>
          </w:p>
        </w:tc>
      </w:tr>
      <w:tr>
        <w:tc>
          <w:p>
            <w:pPr>
              <w:spacing w:after="120"/>
            </w:pPr>
            <w:r>
              <w:t xml:space="preserve">Clienți recurent (comanda a 2-a)</w:t>
            </w:r>
          </w:p>
        </w:tc>
        <w:tc>
          <w:p>
            <w:pPr>
              <w:spacing w:after="120"/>
            </w:pPr>
            <w:r>
              <w:t xml:space="preserve">≥ 5</w:t>
            </w:r>
          </w:p>
        </w:tc>
        <w:tc>
          <w:p>
            <w:pPr>
              <w:spacing w:after="120"/>
            </w:pPr>
            <w:r>
              <w:t xml:space="preserve">30 zile de la lansare</w:t>
            </w:r>
          </w:p>
        </w:tc>
      </w:tr>
      <w:tr>
        <w:tc>
          <w:p>
            <w:pPr>
              <w:spacing w:after="120"/>
            </w:pPr>
            <w:r>
              <w:t xml:space="preserve">Second Order Rate (14 zile)</w:t>
            </w:r>
          </w:p>
        </w:tc>
        <w:tc>
          <w:p>
            <w:pPr>
              <w:spacing w:after="120"/>
            </w:pPr>
            <w:r>
              <w:t xml:space="preserve">≥ 40%</w:t>
            </w:r>
          </w:p>
        </w:tc>
        <w:tc>
          <w:p>
            <w:pPr>
              <w:spacing w:after="120"/>
            </w:pPr>
            <w:r>
              <w:t xml:space="preserve">Continuu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7.2. Atingerea KPI-urilor constituie baza pentru trecerea la faza următoare (Phase 2) prin emiterea unei noi Comenzi.</w:t>
      </w:r>
    </w:p>
    <w:p>
      <w:pPr>
        <w:spacing w:after="120"/>
      </w:pPr>
      <w:r>
        <w:t xml:space="preserve">7.3. Neatingerea KPI-urilor nu constituie motiv automat de reziliere, ci declanșează o evaluare comună conform Art. 8.</w:t>
      </w:r>
    </w:p>
    <w:p>
      <w:pPr>
        <w:pStyle w:val="Heading2"/>
      </w:pPr>
      <w:r>
        <w:t xml:space="preserve">Art. 8. CONDIȚII DE IEȘIRE (EXIT)</w:t>
      </w:r>
    </w:p>
    <w:p>
      <w:pPr>
        <w:spacing w:after="120"/>
      </w:pPr>
      <w:r>
        <w:t xml:space="preserve">8.1. La sfârșitul primelor 30 de zile de la lansare, Părțile evaluează rezultatele conform următoarei logici:</w:t>
      </w:r>
    </w:p>
    <w:p>
      <w:pPr>
        <w:spacing w:after="120"/>
        <w:ind w:left="360"/>
      </w:pPr>
      <w:r>
        <w:rPr>
          <w:b/>
          <w:bCs/>
        </w:rPr>
        <w:t xml:space="preserve">a) Scalare:</w:t>
      </w:r>
      <w:r>
        <w:t xml:space="preserve"> toate cele 3 KPI principale sunt atinse → se continuă și se pregătește Phase 2;</w:t>
      </w:r>
    </w:p>
    <w:p>
      <w:pPr>
        <w:spacing w:after="120"/>
        <w:ind w:left="360"/>
      </w:pPr>
      <w:r>
        <w:rPr>
          <w:b/>
          <w:bCs/>
        </w:rPr>
        <w:t xml:space="preserve">b) Pivot:</w:t>
      </w:r>
      <w:r>
        <w:t xml:space="preserve"> 1–2 KPI parțial atinse → analiză comună, ajustare model;</w:t>
      </w:r>
    </w:p>
    <w:p>
      <w:pPr>
        <w:spacing w:after="120"/>
        <w:ind w:left="360"/>
      </w:pPr>
      <w:r>
        <w:rPr>
          <w:b/>
          <w:bCs/>
        </w:rPr>
        <w:t xml:space="preserve">c) Stop:</w:t>
      </w:r>
      <w:r>
        <w:t xml:space="preserve"> sub 10 înregistrări și sub 5 comenzi → încetarea colaborării.</w:t>
      </w:r>
    </w:p>
    <w:p>
      <w:pPr>
        <w:spacing w:after="120"/>
      </w:pPr>
      <w:r>
        <w:t xml:space="preserve">8.2. În cazul încetării colaborării, Prestatorul nu are dreptul la nicio compensație pentru investiția efectuată în dezvoltare.</w:t>
      </w:r>
    </w:p>
    <w:p>
      <w:pPr>
        <w:pStyle w:val="Heading2"/>
      </w:pPr>
      <w:r>
        <w:t xml:space="preserve">Art. 9. DISPOZIȚII FINALE</w:t>
      </w:r>
    </w:p>
    <w:p>
      <w:pPr>
        <w:spacing w:after="120"/>
      </w:pPr>
      <w:r>
        <w:t xml:space="preserve">9.1. Prezenta comandă face parte integrantă din Contractul-cadru de colaborare și prestări servicii digitale.</w:t>
      </w:r>
    </w:p>
    <w:p>
      <w:pPr>
        <w:spacing w:after="120"/>
      </w:pPr>
      <w:r>
        <w:t xml:space="preserve">9.2. Prevederile Contractului-cadru referitoare la confidențialitate, proprietate intelectuală, protecția datelor, răspundere și forță majoră se aplică în mod corespunzător.</w:t>
      </w:r>
    </w:p>
    <w:p>
      <w:pPr>
        <w:spacing w:after="120"/>
      </w:pPr>
      <w:r>
        <w:t xml:space="preserve">9.3. Orice modificare a prezentei comenzi se face prin act adițional semnat de ambele Părți.</w:t>
      </w:r>
    </w:p>
    <w:p>
      <w:pPr>
        <w:spacing w:after="400"/>
      </w:pPr>
      <w:r>
        <w:t xml:space="preserve"/>
      </w:r>
    </w:p>
    <w:p>
      <w:pPr>
        <w:spacing w:after="400"/>
      </w:pPr>
      <w:r>
        <w:t xml:space="preserve">Încheiată în 2 (două) exemplare originale, câte unul pentru fiecare Parte.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20"/>
            </w:pPr>
            <w:r>
              <w:rPr>
                <w:b/>
                <w:bCs/>
              </w:rPr>
              <w:t xml:space="preserve">PRESTATOR</w:t>
            </w:r>
          </w:p>
          <w:p>
            <w:pPr>
              <w:spacing w:after="120"/>
            </w:pPr>
            <w:r>
              <w:t xml:space="preserve">SC EXAR LABS SRL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>_________________________</w:t>
            </w:r>
          </w:p>
          <w:p>
            <w:pPr>
              <w:spacing w:after="120"/>
            </w:pPr>
            <w:r>
              <w:t xml:space="preserve">[Nume, funcție]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20"/>
            </w:pPr>
            <w:r>
              <w:rPr>
                <w:b/>
                <w:bCs/>
              </w:rPr>
              <w:t xml:space="preserve">PARTENER</w:t>
            </w:r>
          </w:p>
          <w:p>
            <w:pPr>
              <w:spacing w:after="120"/>
            </w:pPr>
            <w:r>
              <w:t xml:space="preserve">SC DEÁK HÚSMÍVES SRL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>_________________________</w:t>
            </w:r>
          </w:p>
          <w:p>
            <w:pPr>
              <w:spacing w:after="120"/>
            </w:pPr>
            <w:r>
              <w:t xml:space="preserve">[Nume, funcție]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jc w:val="center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2026-04-16T04:16:03.183Z</dcterms:created>
  <dcterms:modified xsi:type="dcterms:W3CDTF">2026-04-16T04:16:03.183Z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