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F1A3A"/>
          <w:sz w:val="50"/>
        </w:rPr>
        <w:t>Africa Intelligence Platform</w:t>
      </w:r>
    </w:p>
    <w:p>
      <w:pPr>
        <w:pBdr>
          <w:bottom w:val="single" w:sz="18" w:space="8" w:color="1E3A8A"/>
        </w:pBdr>
      </w:pPr>
      <w:r>
        <w:rPr>
          <w:color w:val="627491"/>
          <w:sz w:val="25"/>
        </w:rPr>
        <w:t>Wireframes, UI směry a vizuální specifikace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Účel</w:t>
            </w:r>
          </w:p>
        </w:tc>
        <w:tc>
          <w:tcPr>
            <w:tcW w:type="dxa" w:w="6912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Přehled hlavních obrazovek, komponent a layout principů pro desktop i mobile</w:t>
            </w:r>
          </w:p>
        </w:tc>
      </w:tr>
      <w:tr>
        <w:tc>
          <w:tcPr>
            <w:tcW w:type="dxa" w:w="2880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Stav</w:t>
            </w:r>
          </w:p>
        </w:tc>
        <w:tc>
          <w:tcPr>
            <w:tcW w:type="dxa" w:w="6912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Low / mid fidelity wireframes pro implementační handoff</w:t>
            </w:r>
          </w:p>
        </w:tc>
      </w:tr>
      <w:tr>
        <w:tc>
          <w:tcPr>
            <w:tcW w:type="dxa" w:w="2880"/>
            <w:vAlign w:val="center"/>
            <w:shd w:fill="EEF4FB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rPr>
                <w:b/>
                <w:color w:val="0F1A3A"/>
              </w:rPr>
              <w:t>Klíčové zásady</w:t>
            </w:r>
          </w:p>
        </w:tc>
        <w:tc>
          <w:tcPr>
            <w:tcW w:type="dxa" w:w="6912"/>
            <w:vAlign w:val="center"/>
            <w:shd w:fill="FFFFFF"/>
            <w:tcBorders>
              <w:left w:val="single" w:sz="8" w:color="D8E1EE"/>
              <w:top w:val="single" w:sz="8" w:color="D8E1EE"/>
              <w:right w:val="single" w:sz="8" w:color="D8E1EE"/>
              <w:bottom w:val="single" w:sz="8" w:color="D8E1EE"/>
            </w:tcBorders>
          </w:tcPr>
          <w:p>
            <w:pPr>
              <w:spacing w:after="40" w:before="40"/>
            </w:pPr>
            <w:r>
              <w:t>SSR-first, map lazy-load, cards + evidence + actions, mobile-first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B"/>
            <w:tcBorders>
              <w:left w:val="single" w:sz="24" w:color="2563EB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80" w:after="80"/>
            </w:pPr>
            <w:r>
              <w:rPr>
                <w:b/>
                <w:color w:val="0F1A3A"/>
                <w:sz w:val="22"/>
              </w:rPr>
              <w:t>Jak číst tento dokument</w:t>
            </w:r>
            <w:r>
              <w:rPr>
                <w:color w:val="334155"/>
                <w:sz w:val="20"/>
              </w:rPr>
              <w:br/>
              <w:t>Wireframy určují informační hierarchii, rozmístění komponent a hlavní interakční tok. Neřeší finální brand design; řeší, co má být na které obrazovce a v jakém pořadí.</w:t>
            </w:r>
          </w:p>
        </w:tc>
      </w:tr>
    </w:tbl>
    <w:p/>
    <w:p>
      <w:pPr>
        <w:pStyle w:val="Heading1"/>
      </w:pPr>
      <w:r>
        <w:t>1. Design principy</w:t>
      </w:r>
    </w:p>
    <w:p>
      <w:pPr>
        <w:pStyle w:val="ListBullet"/>
        <w:spacing w:after="60"/>
      </w:pPr>
      <w:r>
        <w:rPr>
          <w:b/>
        </w:rPr>
        <w:t xml:space="preserve">SSR dřív než grafika: </w:t>
      </w:r>
      <w:r>
        <w:t>nejprve brief, score cards a top insights, až poté mapa.</w:t>
      </w:r>
    </w:p>
    <w:p>
      <w:pPr>
        <w:pStyle w:val="ListBullet"/>
        <w:spacing w:after="60"/>
      </w:pPr>
      <w:r>
        <w:rPr>
          <w:b/>
        </w:rPr>
        <w:t xml:space="preserve">Evidence-visible UI: </w:t>
      </w:r>
      <w:r>
        <w:t>každé číslo nebo AI insight má dohledatelný source/freshness affordance.</w:t>
      </w:r>
    </w:p>
    <w:p>
      <w:pPr>
        <w:pStyle w:val="ListBullet"/>
        <w:spacing w:after="60"/>
      </w:pPr>
      <w:r>
        <w:rPr>
          <w:b/>
        </w:rPr>
        <w:t xml:space="preserve">One primary story per screen: </w:t>
      </w:r>
      <w:r>
        <w:t>na každé obrazovce je jeden hlavní blok a 2–3 podpůrné vrstvy.</w:t>
      </w:r>
    </w:p>
    <w:p>
      <w:pPr>
        <w:pStyle w:val="ListBullet"/>
        <w:spacing w:after="60"/>
      </w:pPr>
      <w:r>
        <w:rPr>
          <w:b/>
        </w:rPr>
        <w:t xml:space="preserve">Responsive parity: </w:t>
      </w:r>
      <w:r>
        <w:t>mobile zachovává stejný obsah, jen jinak řadí a skrývá detail.</w:t>
      </w:r>
    </w:p>
    <w:p>
      <w:pPr>
        <w:pStyle w:val="Heading1"/>
      </w:pPr>
      <w:r>
        <w:t>2. Layout systém a komponenty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Komponenta</w:t>
            </w:r>
          </w:p>
        </w:tc>
        <w:tc>
          <w:tcPr>
            <w:tcW w:type="dxa" w:w="302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Účel</w:t>
            </w:r>
          </w:p>
        </w:tc>
        <w:tc>
          <w:tcPr>
            <w:tcW w:type="dxa" w:w="446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left"/>
            </w:pPr>
            <w:r>
              <w:rPr>
                <w:b/>
                <w:color w:val="0F1A3A"/>
                <w:sz w:val="18"/>
              </w:rPr>
              <w:t>Poznámka pro implementaci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Hero header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title + context summary</w:t>
            </w:r>
          </w:p>
        </w:tc>
        <w:tc>
          <w:tcPr>
            <w:tcW w:type="dxa" w:w="44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SSR rendered, bez layout shift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Score chip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Need/Opportunity/Stability</w:t>
            </w:r>
          </w:p>
        </w:tc>
        <w:tc>
          <w:tcPr>
            <w:tcW w:type="dxa" w:w="44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malá pill s vysokým kontrastem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Metric card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1 KPI + source badge</w:t>
            </w:r>
          </w:p>
        </w:tc>
        <w:tc>
          <w:tcPr>
            <w:tcW w:type="dxa" w:w="44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konzistentní výška, skeleton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 brief card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citovaný insight</w:t>
            </w:r>
          </w:p>
        </w:tc>
        <w:tc>
          <w:tcPr>
            <w:tcW w:type="dxa" w:w="44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musí ukazovat freshness a source count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Action card</w:t>
            </w:r>
          </w:p>
        </w:tc>
        <w:tc>
          <w:tcPr>
            <w:tcW w:type="dxa" w:w="302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donate/volunteer/invest/learn</w:t>
            </w:r>
          </w:p>
        </w:tc>
        <w:tc>
          <w:tcPr>
            <w:tcW w:type="dxa" w:w="44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CTA based routing</w:t>
            </w:r>
          </w:p>
        </w:tc>
      </w:tr>
    </w:tbl>
    <w:p/>
    <w:p>
      <w:r>
        <w:br w:type="page"/>
      </w:r>
    </w:p>
    <w:p>
      <w:pPr>
        <w:pStyle w:val="Heading1"/>
      </w:pPr>
      <w:r>
        <w:t>3. Site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Sekce</w:t>
            </w:r>
          </w:p>
        </w:tc>
        <w:tc>
          <w:tcPr>
            <w:tcW w:type="dxa" w:w="806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Subpages / stavy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Home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default / filtered / loading / stale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Country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overview / actions / methods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SDG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goal overview / map / trend / metadata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AI Briefs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continent / country / theme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Partners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directory / org detail / role detail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Action Hub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input form / recommendations</w:t>
            </w:r>
          </w:p>
        </w:tc>
      </w:tr>
      <w:tr>
        <w:tc>
          <w:tcPr>
            <w:tcW w:type="dxa" w:w="172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Impact</w:t>
            </w:r>
          </w:p>
        </w:tc>
        <w:tc>
          <w:tcPr>
            <w:tcW w:type="dxa" w:w="806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map / charts / organization view</w:t>
            </w:r>
          </w:p>
        </w:tc>
      </w:tr>
    </w:tbl>
    <w:p/>
    <w:p>
      <w:r>
        <w:br w:type="page"/>
      </w:r>
    </w:p>
    <w:p>
      <w:pPr>
        <w:pStyle w:val="Heading1"/>
      </w:pPr>
      <w:r>
        <w:t>4. Desktop wireframe — Home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ho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Horní navigace a hero summary dávají okamžitý kontext bez čekání na mapu.</w:t>
      </w:r>
    </w:p>
    <w:p>
      <w:pPr>
        <w:pStyle w:val="ListBullet"/>
        <w:spacing w:after="60"/>
      </w:pPr>
      <w:r>
        <w:t>Levá mapa je přehledová vrstva; vpravo jsou textové AI briefy a index leaderboards.</w:t>
      </w:r>
    </w:p>
    <w:p>
      <w:pPr>
        <w:pStyle w:val="ListBullet"/>
        <w:spacing w:after="60"/>
      </w:pPr>
      <w:r>
        <w:t>Score cards musí být plně renderované server-side, mapa může doběhnout asynchronně.</w:t>
      </w:r>
    </w:p>
    <w:p>
      <w:pPr>
        <w:pStyle w:val="ListBullet"/>
        <w:spacing w:after="60"/>
      </w:pPr>
      <w:r>
        <w:t>Top actions a partner highlights se objevují již na první obrazovce, aby produkt nebyl jen informační.</w:t>
      </w:r>
    </w:p>
    <w:p>
      <w:pPr>
        <w:spacing w:before="40" w:after="120"/>
      </w:pPr>
      <w:r>
        <w:rPr>
          <w:i/>
          <w:color w:val="627491"/>
          <w:sz w:val="18"/>
        </w:rPr>
        <w:t>Cílem je odpovědět během prvních sekund na otázku: Co se dnes změnilo? Kde je potřeba? Kde je příležitost?</w:t>
      </w:r>
    </w:p>
    <w:p>
      <w:r>
        <w:br w:type="page"/>
      </w:r>
    </w:p>
    <w:p>
      <w:pPr>
        <w:pStyle w:val="Heading1"/>
      </w:pPr>
      <w:r>
        <w:t>5. Desktop wireframe — Country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country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Country hero kombinuje makro kontext s AI summary a výsledným call-to-action.</w:t>
      </w:r>
    </w:p>
    <w:p>
      <w:pPr>
        <w:pStyle w:val="ListBullet"/>
        <w:spacing w:after="60"/>
      </w:pPr>
      <w:r>
        <w:t>Horní metriky mají vždy source badge; trendové panely jsou pod nimi jako druhá vrstva.</w:t>
      </w:r>
    </w:p>
    <w:p>
      <w:pPr>
        <w:pStyle w:val="ListBullet"/>
        <w:spacing w:after="60"/>
      </w:pPr>
      <w:r>
        <w:t>Prioritní sektory a trusted actions jsou vedle sebe, aby uživatel viděl data i možnost reakce.</w:t>
      </w:r>
    </w:p>
    <w:p>
      <w:pPr>
        <w:spacing w:before="40" w:after="120"/>
      </w:pPr>
      <w:r>
        <w:rPr>
          <w:i/>
          <w:color w:val="627491"/>
          <w:sz w:val="18"/>
        </w:rPr>
        <w:t>Country page je hlavní shareable briefing page systému.</w:t>
      </w:r>
    </w:p>
    <w:p>
      <w:r>
        <w:br w:type="page"/>
      </w:r>
    </w:p>
    <w:p>
      <w:pPr>
        <w:pStyle w:val="Heading1"/>
      </w:pPr>
      <w:r>
        <w:t>6. Desktop wireframe — SDG explorer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sdg_explo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Každý SDG cíl používá jednotnou šablonu: definice, selected indicators, mapa, trend, related actions.</w:t>
      </w:r>
    </w:p>
    <w:p>
      <w:pPr>
        <w:pStyle w:val="ListBullet"/>
        <w:spacing w:after="60"/>
      </w:pPr>
      <w:r>
        <w:t>Srovnání Afrika vs. svět je viditelné vysoko na stránce, metodika níže.</w:t>
      </w:r>
    </w:p>
    <w:p>
      <w:pPr>
        <w:pStyle w:val="ListBullet"/>
        <w:spacing w:after="60"/>
      </w:pPr>
      <w:r>
        <w:t>Export a source metadata nesmí být skryté; pro analytické publikum jsou důležité.</w:t>
      </w:r>
    </w:p>
    <w:p>
      <w:pPr>
        <w:spacing w:before="40" w:after="120"/>
      </w:pPr>
      <w:r>
        <w:rPr>
          <w:i/>
          <w:color w:val="627491"/>
          <w:sz w:val="18"/>
        </w:rPr>
        <w:t>SDG obrazovky musí působit jako datový produkt, ne jako encyklopedický článek.</w:t>
      </w:r>
    </w:p>
    <w:p>
      <w:r>
        <w:br w:type="page"/>
      </w:r>
    </w:p>
    <w:p>
      <w:pPr>
        <w:pStyle w:val="Heading1"/>
      </w:pPr>
      <w:r>
        <w:t>7. Desktop wireframe — AI brief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i_brie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Brief feed má jasně odlišit scope (continent/country/theme) a freshness.</w:t>
      </w:r>
    </w:p>
    <w:p>
      <w:pPr>
        <w:pStyle w:val="ListBullet"/>
        <w:spacing w:after="60"/>
      </w:pPr>
      <w:r>
        <w:t>Každý brief card musí zobrazit citation count a link do evidence view.</w:t>
      </w:r>
    </w:p>
    <w:p>
      <w:pPr>
        <w:pStyle w:val="ListBullet"/>
        <w:spacing w:after="60"/>
      </w:pPr>
      <w:r>
        <w:t>Filters a time windows musí být lehké; primárně textové, ne graficky těžké.</w:t>
      </w:r>
    </w:p>
    <w:p>
      <w:pPr>
        <w:spacing w:before="40" w:after="120"/>
      </w:pPr>
      <w:r>
        <w:rPr>
          <w:i/>
          <w:color w:val="627491"/>
          <w:sz w:val="18"/>
        </w:rPr>
        <w:t>AI brief center je místo pro denní používání produktu.</w:t>
      </w:r>
    </w:p>
    <w:p>
      <w:r>
        <w:br w:type="page"/>
      </w:r>
    </w:p>
    <w:p>
      <w:pPr>
        <w:pStyle w:val="Heading1"/>
      </w:pPr>
      <w:r>
        <w:t>8. Desktop wireframe — Partner directory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partner_direc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Directory je transakční obrazovka: filtry vlevo, výsledky vpravo.</w:t>
      </w:r>
    </w:p>
    <w:p>
      <w:pPr>
        <w:pStyle w:val="ListBullet"/>
        <w:spacing w:after="60"/>
      </w:pPr>
      <w:r>
        <w:t>Každý listing musí nést verification tier, sector tags a available actions.</w:t>
      </w:r>
    </w:p>
    <w:p>
      <w:pPr>
        <w:pStyle w:val="ListBullet"/>
        <w:spacing w:after="60"/>
      </w:pPr>
      <w:r>
        <w:t>Detail organizace se otevře bez ztráty filtračního kontextu.</w:t>
      </w:r>
    </w:p>
    <w:p>
      <w:pPr>
        <w:spacing w:before="40" w:after="120"/>
      </w:pPr>
      <w:r>
        <w:rPr>
          <w:i/>
          <w:color w:val="627491"/>
          <w:sz w:val="18"/>
        </w:rPr>
        <w:t>Cílem je rychle najít legitimní organizaci, ne jen pročítat neověřené karty.</w:t>
      </w:r>
    </w:p>
    <w:p>
      <w:r>
        <w:br w:type="page"/>
      </w:r>
    </w:p>
    <w:p>
      <w:pPr>
        <w:pStyle w:val="Heading1"/>
      </w:pPr>
      <w:r>
        <w:t>9. Desktop wireframe — Action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action_ce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Action center je decision tool: uživatel zadá rozpočet, čas, preference a dostane doporučení.</w:t>
      </w:r>
    </w:p>
    <w:p>
      <w:pPr>
        <w:pStyle w:val="ListBullet"/>
        <w:spacing w:after="60"/>
      </w:pPr>
      <w:r>
        <w:t>Výstupy musí kombinovat need/opportunity signály s legit partner options.</w:t>
      </w:r>
    </w:p>
    <w:p>
      <w:pPr>
        <w:pStyle w:val="ListBullet"/>
        <w:spacing w:after="60"/>
      </w:pPr>
      <w:r>
        <w:t>In-kind pomoc musí být opatřena warning state a doporučenou alternativou.</w:t>
      </w:r>
    </w:p>
    <w:p>
      <w:pPr>
        <w:spacing w:before="40" w:after="120"/>
      </w:pPr>
      <w:r>
        <w:rPr>
          <w:i/>
          <w:color w:val="627491"/>
          <w:sz w:val="18"/>
        </w:rPr>
        <w:t>Tato obrazovka převádí data do konkrétního rozhodnutí.</w:t>
      </w:r>
    </w:p>
    <w:p>
      <w:r>
        <w:br w:type="page"/>
      </w:r>
    </w:p>
    <w:p>
      <w:pPr>
        <w:pStyle w:val="Heading1"/>
      </w:pPr>
      <w:r>
        <w:t>10. Mobile wireframe —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6675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mobile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Mobile home staví na stacked cards, nikoli na miniaturách desktopu.</w:t>
      </w:r>
    </w:p>
    <w:p>
      <w:pPr>
        <w:pStyle w:val="ListBullet"/>
        <w:spacing w:after="60"/>
      </w:pPr>
      <w:r>
        <w:t>Mapa je až sekundární blok; nejdřív se zobrazí daily brief a top scores.</w:t>
      </w:r>
    </w:p>
    <w:p>
      <w:pPr>
        <w:pStyle w:val="ListBullet"/>
        <w:spacing w:after="60"/>
      </w:pPr>
      <w:r>
        <w:t>Filters a navigation patří do compact menu / drawers, aby zůstal čistý viewport.</w:t>
      </w:r>
    </w:p>
    <w:p>
      <w:pPr>
        <w:spacing w:before="40" w:after="120"/>
      </w:pPr>
      <w:r>
        <w:rPr>
          <w:i/>
          <w:color w:val="627491"/>
          <w:sz w:val="18"/>
        </w:rPr>
        <w:t>Mobile verze musí být plnohodnotná i na slabších zařízeních.</w:t>
      </w:r>
    </w:p>
    <w:p>
      <w:r>
        <w:br w:type="page"/>
      </w:r>
    </w:p>
    <w:p>
      <w:pPr>
        <w:pStyle w:val="Heading1"/>
      </w:pPr>
      <w:r>
        <w:t>11. Mobile wireframe — Country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6675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mobile_coun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Na mobilu se priority obracejí: summary → action → metrics → deeper charts.</w:t>
      </w:r>
    </w:p>
    <w:p>
      <w:pPr>
        <w:pStyle w:val="ListBullet"/>
        <w:spacing w:after="60"/>
      </w:pPr>
      <w:r>
        <w:t>Charts musí být scroll-safe a čitelné bez pinch-zoom.</w:t>
      </w:r>
    </w:p>
    <w:p>
      <w:pPr>
        <w:pStyle w:val="ListBullet"/>
        <w:spacing w:after="60"/>
      </w:pPr>
      <w:r>
        <w:t>Sekce metodiky a zdrojů mohou být collapsed, ale snadno dostupné.</w:t>
      </w:r>
    </w:p>
    <w:p>
      <w:pPr>
        <w:spacing w:before="40" w:after="120"/>
      </w:pPr>
      <w:r>
        <w:rPr>
          <w:i/>
          <w:color w:val="627491"/>
          <w:sz w:val="18"/>
        </w:rPr>
        <w:t>Country mobilní obrazovka je pravděpodobně nejdůležitější každodenní use case.</w:t>
      </w:r>
    </w:p>
    <w:p>
      <w:pPr>
        <w:pStyle w:val="Heading1"/>
      </w:pPr>
      <w:r>
        <w:t>12. Visual language doporučení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Prvek</w:t>
            </w:r>
          </w:p>
        </w:tc>
        <w:tc>
          <w:tcPr>
            <w:tcW w:type="dxa" w:w="7344"/>
            <w:shd w:fill="EAF1FB"/>
            <w:vAlign w:val="center"/>
            <w:tcBorders>
              <w:left w:val="single" w:sz="8" w:color="C5D3E5"/>
              <w:top w:val="single" w:sz="8" w:color="C5D3E5"/>
              <w:right w:val="single" w:sz="8" w:color="C5D3E5"/>
              <w:bottom w:val="single" w:sz="8" w:color="C5D3E5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F1A3A"/>
                <w:sz w:val="18"/>
              </w:rPr>
              <w:t>Doporučení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Primární paleta</w:t>
            </w:r>
          </w:p>
        </w:tc>
        <w:tc>
          <w:tcPr>
            <w:tcW w:type="dxa" w:w="734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navy + modrý akcent + status green/red/orange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Typografie</w:t>
            </w:r>
          </w:p>
        </w:tc>
        <w:tc>
          <w:tcPr>
            <w:tcW w:type="dxa" w:w="734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čistý grotesk; silné H1/H2, body 10–11 pt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Cards</w:t>
            </w:r>
          </w:p>
        </w:tc>
        <w:tc>
          <w:tcPr>
            <w:tcW w:type="dxa" w:w="734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jemně zaoblené, nízký stín, hodně whitespace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Map styling</w:t>
            </w:r>
          </w:p>
        </w:tc>
        <w:tc>
          <w:tcPr>
            <w:tcW w:type="dxa" w:w="734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neutrální podklad, datové vrstvy v řízené paletě</w:t>
            </w:r>
          </w:p>
        </w:tc>
      </w:tr>
      <w:tr>
        <w:tc>
          <w:tcPr>
            <w:tcW w:type="dxa" w:w="2448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center"/>
            </w:pPr>
            <w:r>
              <w:rPr>
                <w:color w:val="334155"/>
                <w:sz w:val="18"/>
              </w:rPr>
              <w:t>Charts</w:t>
            </w:r>
          </w:p>
        </w:tc>
        <w:tc>
          <w:tcPr>
            <w:tcW w:type="dxa" w:w="7344"/>
            <w:vAlign w:val="center"/>
            <w:tcBorders>
              <w:left w:val="single" w:sz="6" w:color="DCE4EF"/>
              <w:top w:val="single" w:sz="6" w:color="DCE4EF"/>
              <w:right w:val="single" w:sz="6" w:color="DCE4EF"/>
              <w:bottom w:val="single" w:sz="6" w:color="DCE4EF"/>
            </w:tcBorders>
          </w:tcPr>
          <w:p>
            <w:pPr>
              <w:spacing w:before="30" w:after="30"/>
              <w:jc w:val="left"/>
            </w:pPr>
            <w:r>
              <w:rPr>
                <w:color w:val="334155"/>
                <w:sz w:val="18"/>
              </w:rPr>
              <w:t>bez zbytečné dekorace, prioritně čitelnost</w:t>
            </w:r>
          </w:p>
        </w:tc>
      </w:tr>
    </w:tbl>
    <w:p/>
    <w:p>
      <w:pPr>
        <w:pStyle w:val="Heading1"/>
      </w:pPr>
      <w:r>
        <w:t>13. Komponentní stavy, které musí design pokrýt</w:t>
      </w:r>
    </w:p>
    <w:p>
      <w:pPr>
        <w:pStyle w:val="ListBullet"/>
        <w:spacing w:after="60"/>
      </w:pPr>
      <w:r>
        <w:t>loading skeleton</w:t>
      </w:r>
    </w:p>
    <w:p>
      <w:pPr>
        <w:pStyle w:val="ListBullet"/>
        <w:spacing w:after="60"/>
      </w:pPr>
      <w:r>
        <w:t>partial data / stale data</w:t>
      </w:r>
    </w:p>
    <w:p>
      <w:pPr>
        <w:pStyle w:val="ListBullet"/>
        <w:spacing w:after="60"/>
      </w:pPr>
      <w:r>
        <w:t>empty results</w:t>
      </w:r>
    </w:p>
    <w:p>
      <w:pPr>
        <w:pStyle w:val="ListBullet"/>
        <w:spacing w:after="60"/>
      </w:pPr>
      <w:r>
        <w:t>verification pending</w:t>
      </w:r>
    </w:p>
    <w:p>
      <w:pPr>
        <w:pStyle w:val="ListBullet"/>
        <w:spacing w:after="60"/>
      </w:pPr>
      <w:r>
        <w:t>AI brief without enough evidence (publication blocked)</w:t>
      </w:r>
    </w:p>
    <w:p>
      <w:pPr>
        <w:pStyle w:val="ListBullet"/>
        <w:spacing w:after="60"/>
      </w:pPr>
      <w:r>
        <w:t>map unavailable but text shell available</w:t>
      </w:r>
    </w:p>
    <w:p>
      <w:pPr>
        <w:pStyle w:val="ListBullet"/>
        <w:spacing w:after="60"/>
      </w:pPr>
      <w:r>
        <w:t>error / retry state for external feeds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27491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27491"/>
        <w:sz w:val="16"/>
      </w:rPr>
      <w:t>Africa Intelligence Platform — Wireframes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F1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35C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F1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2749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