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2F6FC"/>
  <w:body>
    <w:p>
      <w:pPr>
        <w:spacing w:after="200" w:before="160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F2847"/>
          <w:sz w:val="22"/>
          <w:szCs w:val="22"/>
        </w:rPr>
        <w:t xml:space="preserve">纳米Work 企业版</w:t>
      </w:r>
    </w:p>
    <w:p>
      <w:pPr>
        <w:spacing w:after="300"/>
        <w:jc w:val="center"/>
      </w:pPr>
      <w:r>
        <w:rPr>
          <w:b/>
          <w:bCs/>
          <w:color w:val="1B3A6B"/>
          <w:sz w:val="20"/>
          <w:szCs w:val="20"/>
        </w:rPr>
        <w:t xml:space="preserve">GTM Strategy · 2026</w:t>
      </w:r>
    </w:p>
    <w:p>
      <w:pPr>
        <w:spacing w:after="300"/>
        <w:jc w:val="center"/>
      </w:pPr>
      <w:r>
        <w:rPr>
          <w:b/>
          <w:bCs/>
          <w:color w:val="1A1A2E"/>
          <w:sz w:val="56"/>
          <w:szCs w:val="56"/>
        </w:rPr>
        <w:t xml:space="preserve">360纳米Work企业版</w:t>
      </w:r>
    </w:p>
    <w:p>
      <w:pPr>
        <w:spacing w:after="600"/>
        <w:jc w:val="center"/>
      </w:pPr>
      <w:r>
        <w:rPr>
          <w:b/>
          <w:bCs/>
          <w:color w:val="1B3A6B"/>
          <w:sz w:val="36"/>
          <w:szCs w:val="36"/>
        </w:rPr>
        <w:t xml:space="preserve">6个月GTM营销方案</w:t>
      </w:r>
    </w:p>
    <w:p>
      <w:pPr>
        <w:spacing w:after="100"/>
        <w:jc w:val="center"/>
      </w:pPr>
      <w:r>
        <w:rPr>
          <w:color w:val="4A5568"/>
          <w:sz w:val="24"/>
          <w:szCs w:val="24"/>
        </w:rPr>
        <w:t xml:space="preserve">从品类定义到标杆落地</w:t>
      </w:r>
    </w:p>
    <w:p>
      <w:pPr>
        <w:spacing w:after="400"/>
        <w:jc w:val="center"/>
      </w:pPr>
      <w:r>
        <w:rPr>
          <w:i/>
          <w:iCs/>
          <w:color w:val="8A94A6"/>
          <w:sz w:val="20"/>
          <w:szCs w:val="20"/>
        </w:rPr>
        <w:t xml:space="preserve">不卖工具，卖用得起的AI落地服务</w:t>
      </w:r>
    </w:p>
    <w:p>
      <w:pPr>
        <w:spacing w:after="100"/>
        <w:jc w:val="center"/>
      </w:pPr>
      <w:r>
        <w:rPr>
          <w:color w:val="8A94A6"/>
          <w:sz w:val="18"/>
          <w:szCs w:val="18"/>
        </w:rPr>
        <w:t xml:space="preserve">6个月周期 · 3大北极星指标 · 6场活动 · 6渠道矩阵</w:t>
      </w:r>
    </w:p>
    <w:p>
      <w:pPr>
        <w:spacing w:after="100"/>
        <w:jc w:val="center"/>
      </w:pPr>
      <w:r>
        <w:rPr>
          <w:color w:val="8A94A6"/>
          <w:sz w:val="18"/>
          <w:szCs w:val="18"/>
        </w:rPr>
        <w:t xml:space="preserve">中小企业 50-500人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核心战略判断</w:t>
      </w:r>
    </w:p>
    <w:p>
      <w:pPr>
        <w:pBdr>
          <w:bottom w:val="single" w:color="1B3A6B" w:sz="6" w:space="1"/>
        </w:pBdr>
        <w:spacing w:after="2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shd w:fill="E8F0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b/>
                <w:bCs/>
                <w:color w:val="D4A020"/>
                <w:sz w:val="18"/>
                <w:szCs w:val="18"/>
              </w:rPr>
              <w:t xml:space="preserve">◆ 战略锚点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钉钉、飞书、企微的AI能力，本质是在既有办公生态上叠加智能体。护城河不是AI，是组织已经在里面办公——通讯录、审批流、文件、历史沉淀都在。正面进攻等于要求客户先离开一个每天都在用的系统，这是营销解决不了的问题。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品类重新定义：不在"AI办公智能体"赛道和BAT竞争，在"企业AI落地服务"赛道，对手是收费几十万的咨询公司和SI集成商。从"卖工具"切换到"卖用得起的AI落地服务"。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叙事框架：超级个体→超级组织。不卖功能，卖进化。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一、市场判断与品类重新定义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竞品三家模式 — 我们不打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钉钉→千问办公、飞书→Aily、企业微信→WorkBuddy，三家BAT都是"办公生态+嵌入AI智能体"模式。用户被各自生态锁定。无生态绑定反而是我们的优势——企业不用担心用一个AI就要换一套办公系统。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其他竞品：WPS灵犀(金山) | TRAE Work(字节) | Microsoft 365 Copilot | ChatGPT | 腾讯元宝 | 豆包 | Kimi | Notion AI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360纳米Work企业版 — 护城河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安全 = 信任底座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不是功能卖点，而是准入门槛。"大模型出错是说错话，智能体出错是干错事" — 360纳米Work企业版原生安全、出厂内置。360累计捕获60个境外APT组织，3800+安全专家团队，覆盖2万家政企客户。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63.6%的AI供应商未在法律文件中披露第三方数据转发（DataGrail 2026报告）。72%企业AI Agent渗透率但安全没跟上。国安部已披露三类AI泄密典型案件。安全不是"后贴的补丁"，是20年攻防积累的原生能力。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交付 = 服务承诺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竞品交付"你用AI做出来的"，不一定能用。360纳米Work交付"AI替你做出来的"。端到端任务交付而非辅助生成。纳米1314任务引擎：用户输入目标→AI拆解任务→调度多专家→云端7×24执行→交付成品。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交付场景分级（关键设计）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级别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定义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代表场景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交付承诺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A级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可全自动交付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招投标监控、多语种内容生成、合规台账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7×24无人值守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B级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AI交付+人工审核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合同审查、营销方案生成、客户分析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AI完成80%，人工判断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C级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AI辅助+人主导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战略规划、创意决策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不做交付承诺</w:t>
            </w:r>
          </w:p>
        </w:tc>
      </w:tr>
    </w:tbl>
    <w:p>
      <w:pPr>
        <w:spacing w:after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不能笼统说"什么都能交付"。A级场景定义输入→AI执行→输出格式→质量标准→交付周期，营销只宣传A级案例。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FDE = 核心产能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不是售后支持，是核心商业模式。依托360庞大白帽子群体→FDE转型+城市合伙人=网格式AI落地服务网络。FDE三级认证：训练工匠→AI业务专家→AI咨询架构师。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F0E0A0" w:sz="2"/>
              <w:left w:val="single" w:color="E0B000" w:sz="12"/>
              <w:bottom w:val="single" w:color="F0E0A0" w:sz="2"/>
              <w:right w:val="single" w:color="F0E0A0" w:sz="2"/>
            </w:tcBorders>
            <w:shd w:fill="FFF9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18"/>
                <w:szCs w:val="18"/>
              </w:rPr>
              <w:t xml:space="preserve">💡 精妙点子：AI数字员工入职</w:t>
            </w:r>
          </w:p>
          <w:p>
            <w:pPr>
              <w:spacing w:line="340"/>
            </w:pPr>
            <w:r>
              <w:rPr>
                <w:color w:val="4A5568"/>
                <w:sz w:val="21"/>
                <w:szCs w:val="21"/>
              </w:rPr>
              <w:t xml:space="preserve">企业不是在"买软件"，是在"招AI数字员工"。1亿Token=试用期工资360付；FDE=入职培训师；500+专家=AI员工简历库；城市合伙人=人才中介。企业对"招人"是刚需，对"买软件"有抵触。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二、目标客户与优先级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把安全客户变成AI客户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已付费、已信任、已有采购关系与对接人的客户——这是360最大的存量资产。动作：按三条件筛出首批300家满足：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员工50-500人（中小型企业）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近12个月有续费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属三个Beachhead行业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由安全侧客户经理带FDE二次拜访，不做产品推销，做免费「AI场景诊断」。从"你在卖AI工具"变成"你在帮我查AI安全漏洞"——心智完全不同。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三个Beachhead行业推荐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行业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选择理由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首个标杆案例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A级行动场景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工程咨询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有招投标监控刚需，ROI直接可量化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广东企业筛出11亿线索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每日8:00前交付匹配准确率&gt;90%的项目清单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跨境电商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多语种多时区场景不可替代性强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中英双语双端宣传套图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一天内产出多语种宣传物料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餐饮连锁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1人管多门店故事性极强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阿布拉江1家扩到6家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品牌营销+法务咨询+门店数据分析</w:t>
            </w:r>
          </w:p>
        </w:tc>
      </w:tr>
    </w:tbl>
    <w:p>
      <w:pPr>
        <w:spacing w:after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案例降维策略：每个行业选"最不像会用AI的客户"做标杆——连早餐店老板都能用，你为什么不能。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三、指标体系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北极星：持续运营客户数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定义：完成交付后连续60天有真实业务调用，且至少一个场景进入日常流程。六个月目标30家。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为什么不看营收：行业数据85%企业完成POC但只有15%持续运营。标杆客户和案例产出是持续运营的前置条件——有了30家标杆，营收是自然结果。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辅助指标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指标</w:t>
            </w:r>
          </w:p>
        </w:tc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6个月目标</w:t>
            </w:r>
          </w:p>
        </w:tc>
        <w:tc>
          <w:tcPr>
            <w:tcW w:type="dxa" w:w="30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对应JD职责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可传播案例产出数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10个（覆盖3行业）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打造标杆案例…为核心内容支撑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全链路转化率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到岗后定基线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拆解全链路转化漏斗，定位流失卡点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FDE认证活跃数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100人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赋能销售、渠道与用户落地使用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四、六个月执行路线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第一阶段 · 1-30天 · 立信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品类叙事定稿并全员对齐——销售、渠道、客服口径统一。核心一句话："不卖工具，卖用得起的AI落地服务"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存量客户激活——安全侧客户经理发起500家企业筛选，主题是免费诊断而非产品介绍。发起"AI安全体检"，免费检测客户当前AI使用风险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诊断工具包上线——20题标准问卷+报告模板+ROI测算器，渠道与FDE拿了就能用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10家共创客户签署协议——给予优先功能、联合署名、创始价格，换取可公开的数据与故事使用权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360内部改造故事首发——周鸿祎抖音发布"AI替我干了5个人的活"，讲述CEO超级助理真实经历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第二阶段 · 31-90天 · 验证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交付包标准化——每行业沉淀"场景定义/配置模板/验收标准/常见问题/交付话术"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3场老板行业闭门沙龙——客户现身说法20分钟→真实数据现场演示15分钟→FDE分桌诊断30分钟→当场预约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案例生产线——每个标杆产出"短视频+图文+案例卡片+PPT页"四件套。禁止销售各自制作，统一标准化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社媒矩阵启动——周鸿祎抖音"纳米Work实战周记"每周1条；小红书"用户故事"号每周2-3条；视频号深度演示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第三阶段 · 91-180天 · 放大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渠道合伙人放大——交付包即准入教材，授权与认证等级绑定，未认证不得独立交付，防止交付质量崩塌反噬品牌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城市服务站滚动深化——不追求同日开业的公关声量，按FDE产能开城；每城须有1名认证FDE与1个本地标杆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内容矩阵规模化——同步做AEO/GEO，使AI搜索可检索到我方行业方法论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老客扩展——对持续运营客户启动第二场景销售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color w:val="4A5568"/>
          <w:sz w:val="21"/>
          <w:szCs w:val="21"/>
        </w:rPr>
        <w:t xml:space="preserve">"100个行业的AI第一天"内容工厂启动——100个不同行业小企业主第一次用AI的完整记录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五、内容与渠道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内容策略：从客户痛点场景出发，不从产品功能出发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ToB不做大曝光，做信任飞轮。信任来自深度案例和行业口碑，不来自广告投放。先建痛点场景案例库，再让AI基于知识库生产内容。</w:t>
      </w:r>
    </w:p>
    <w:p>
      <w:pPr>
        <w:pStyle w:val="Heading3"/>
        <w:spacing w:after="120" w:before="280"/>
      </w:pPr>
      <w:r>
        <w:rPr>
          <w:b/>
          <w:bCs/>
          <w:color w:val="1A1A2E"/>
          <w:sz w:val="26"/>
          <w:szCs w:val="26"/>
        </w:rPr>
        <w:t xml:space="preserve">渠道矩阵：每个平台打不同的牌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小红书："普通人用AI搞钱"的故事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不做官方号发产品介绍，做"用户故事"号。选题："1人公司老板的一天：用AI管理6家门店""我用AI替代了3个外包""40岁餐饮老板学AI第1天到第30天"。找5-10个KOC免费试用，真实体验发笔记。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抖音：周鸿祎IP+场景化短视频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固定栏目"纳米Work实战周记"每周1条。场景演示："用AI 5分钟筛出行业情报"。用户故事60-90秒，前5秒抛冲击观点。周鸿祎1500万粉丝，单条最高点赞53.1万。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视频号：B端决策者信息渠道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360内部改造故事(30天改造360)、闭门沙龙精华剪辑、5-10分钟深度演示。视频结尾放企业微信二维码引导预约。B端决策者不怕长视频，怕的是内容不够硬。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公众号+知乎：深度案例+AEO占位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公众号三层：信任层8篇(安全白皮书)+案例层10篇(深度案例)+选型层6篇(行业选型指南)。知乎找10-20个高赞问题专业回答。目标搜索"企业AI落地"时排前3。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行业垂直社区：精准触达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工程咨询→工程造价论坛、招投标社群。跨境电商→雨果网、跨境眼。餐饮→餐饮老板内参、红餐网。不发产品介绍，发"行业AI解决方案"。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F0E0A0" w:sz="2"/>
              <w:left w:val="single" w:color="E0B000" w:sz="12"/>
              <w:bottom w:val="single" w:color="F0E0A0" w:sz="2"/>
              <w:right w:val="single" w:color="F0E0A0" w:sz="2"/>
            </w:tcBorders>
            <w:shd w:fill="FFF9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18"/>
                <w:szCs w:val="18"/>
              </w:rPr>
              <w:t xml:space="preserve">💡 精妙点子：用纳米Work营销纳米Work</w:t>
            </w:r>
          </w:p>
          <w:p>
            <w:pPr>
              <w:spacing w:line="340"/>
            </w:pPr>
            <w:r>
              <w:rPr>
                <w:color w:val="4A5568"/>
                <w:sz w:val="21"/>
                <w:szCs w:val="21"/>
              </w:rPr>
              <w:t xml:space="preserve">营销团队自己先用产品搭建营销智能体——自动生成社媒内容、分析用户反馈、生成案例报告。让营销过程本身成为产品能力的活案例。内容从客户痛点场景出发，先建场景案例库，再让AI基于知识库生产内容。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六、内部协同机制</w:t>
      </w:r>
    </w:p>
    <w:p>
      <w:pPr>
        <w:pBdr>
          <w:bottom w:val="single" w:color="1B3A6B" w:sz="6" w:space="1"/>
        </w:pBdr>
        <w:spacing w:after="200" w:before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360有4亿安全卫士+4亿浏览器+1200万纳米AI搜索+2万家政企客户。但跨部门协同不是"建议导流"就能实现的——没有利益分配就没有协同，这是大公司铁律。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shd w:fill="E8F0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b/>
                <w:bCs/>
                <w:color w:val="D4A020"/>
                <w:sz w:val="18"/>
                <w:szCs w:val="18"/>
              </w:rPr>
              <w:t xml:space="preserve">◆ 协同四步法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利益绑——导流部门按Token消耗收入30%分成；安全销售交叉销售按15%计入安全团队业绩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看板通——共享飞书/钉钉看板，所有部门看到实时数据（新增触达、注册、试用、深度验证、付费）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周会盯——每周30分钟站会过5个数字。虚拟团队5人：产品+安全+搜索+品牌+渠道</w:t>
            </w:r>
          </w:p>
          <w:p>
            <w:pPr>
              <w:spacing w:after="100" w:line="340"/>
            </w:pPr>
            <w:r>
              <w:rPr>
                <w:color w:val="4A5568"/>
                <w:sz w:val="21"/>
                <w:szCs w:val="21"/>
              </w:rPr>
              <w:t xml:space="preserve">绩效挂——作战室成员季度绩效中20%与纳米Work整体指标挂钩。不改组织架构，只加考核维度</w:t>
            </w:r>
          </w:p>
        </w:tc>
      </w:tr>
    </w:tbl>
    <w:p>
      <w:pPr>
        <w:spacing w:after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参考：华为IPD的PDT跨部门团队，成员考核与产品商业结果强绑定；字节飞书×豆包团队整合，产品和销售端统一指挥。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七、风险与应对</w:t>
      </w:r>
    </w:p>
    <w:p>
      <w:pPr>
        <w:pBdr>
          <w:bottom w:val="single" w:color="1B3A6B" w:sz="6" w:space="1"/>
        </w:pBdr>
        <w:spacing w:after="2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风险</w:t>
            </w:r>
          </w:p>
        </w:tc>
        <w:tc>
          <w:tcPr>
            <w:tcW w:type="dxa" w:w="450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应对策略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公测用户转化率低
参考Tome：2500万用户年收入仅300万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画像分层，从10万公测用户中筛选匹配企业版目标客群的几千家，集中FDE资源服务高价值种子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FDE模式规模化天花板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设计轻量级自服务路径：预置A级场景智能体模板，技术强企业自主上手，FDE集中高价值客户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竞品跟进安全/交付能力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把FDE网络做成不可复制的组织能力——代码能复制，人力组织能力不能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10家共创客户交付效果不达预期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只宣传A级场景真实案例，B级标注"AI初稿+人工审核"，C级不做承诺。不overpromise</w:t>
            </w:r>
          </w:p>
        </w:tc>
      </w:tr>
    </w:tbl>
    <w:p>
      <w:pPr>
        <w:spacing w:after="100"/>
      </w:pP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护城河时效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卖点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护城河深度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竞品追赶周期</w:t>
            </w:r>
          </w:p>
        </w:tc>
        <w:tc>
          <w:tcPr>
            <w:tcW w:type="dxa" w:w="2250"/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3A6B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安全基因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深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2-3年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20年攻防积累，非代码可复制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端到端交付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中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1-2年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任务引擎可被模仿，场景积累难复制</w:t>
            </w:r>
          </w:p>
        </w:tc>
      </w:tr>
      <w:tr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FDE服务网络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最深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3-5年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5568"/>
                <w:sz w:val="18"/>
                <w:szCs w:val="18"/>
              </w:rPr>
              <w:t xml:space="preserve">人力组织能力，非技术可替代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八、三个精妙点子</w:t>
      </w:r>
    </w:p>
    <w:p>
      <w:pPr>
        <w:pBdr>
          <w:bottom w:val="single" w:color="1B3A6B" w:sz="6" w:space="1"/>
        </w:pBdr>
        <w:spacing w:after="200" w:before="100"/>
      </w:pP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1. AI数字员工入职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从"买软件"变"招AI员工"。Token=试用期工资360付；FDE=入职培训师；500专家=AI员工简历库；城市合伙人=人才中介。企业对"招人"是刚需，对"买软件"有抵触。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2. 360 AI安全体检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向2万家政企客户发"AI安全体检报告"，免费检测AI使用风险。从"你在卖AI工具"变成"你在帮我查安全漏洞"——心智完全不同。这不是推销，是安全服务延伸。</w:t>
      </w:r>
    </w:p>
    <w:p>
      <w:pPr>
        <w:pStyle w:val="Heading4"/>
        <w:spacing w:after="80" w:before="200"/>
      </w:pPr>
      <w:r>
        <w:rPr>
          <w:b/>
          <w:bCs/>
          <w:color w:val="1A1A2E"/>
          <w:sz w:val="22"/>
          <w:szCs w:val="22"/>
        </w:rPr>
        <w:t xml:space="preserve">3. 100个行业的AI第一天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100个不同行业的小企业主第一次用AI的完整记录。100条短视频+100篇图文=半年内容弹药库。"早餐店老板都能用，你是不是也该试试？"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九、五个共识钩子</w:t>
      </w:r>
    </w:p>
    <w:p>
      <w:pPr>
        <w:pBdr>
          <w:bottom w:val="single" w:color="1B3A6B" w:sz="6" w:space="1"/>
        </w:pBdr>
        <w:spacing w:after="200" w:before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1. "ToB不做大曝光，做信任飞轮" — 信任来自深度案例和行业口碑，不来自广告投放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2. "内容不从产品功能出发，从客户痛点场景出发" — 先建痛点场景案例库，再让AI基于知识库生产内容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3. "利益绑、看板通、周会盯、绩效挂" — 四步法解决跨部门协同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4. "小红书运营由懂ToB营销+懂AI+懂小红书的复合型人才主导" — 不是新媒体运营岗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5. "用纳米Work营销纳米Work" — 营销团队自己先用产品，让营销过程成为产品能力的活案例</w:t>
      </w:r>
    </w:p>
    <w:p>
      <w:pPr>
        <w:spacing w:after="400"/>
      </w:pPr>
    </w:p>
    <w:p>
      <w:pPr>
        <w:pStyle w:val="Heading1"/>
        <w:spacing w:after="200" w:before="400"/>
      </w:pPr>
      <w:r>
        <w:rPr>
          <w:b/>
          <w:bCs/>
          <w:color w:val="0F2847"/>
          <w:sz w:val="36"/>
          <w:szCs w:val="36"/>
        </w:rPr>
        <w:t xml:space="preserve">结语</w:t>
      </w:r>
    </w:p>
    <w:p>
      <w:pPr>
        <w:pBdr>
          <w:bottom w:val="single" w:color="1B3A6B" w:sz="6" w:space="1"/>
        </w:pBdr>
        <w:spacing w:after="200" w:before="100"/>
      </w:pP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卖工具模式下，市场部的产出是线索；卖落地服务模式下，产出是可复制的交付资产与客户共识。</w:t>
      </w:r>
    </w:p>
    <w:p>
      <w:pPr>
        <w:spacing w:after="200" w:line="360"/>
        <w:jc w:val="left"/>
      </w:pPr>
      <w:r>
        <w:rPr>
          <w:b w:val="false"/>
          <w:bCs w:val="false"/>
          <w:i w:val="false"/>
          <w:iCs w:val="false"/>
          <w:color w:val="4A5568"/>
          <w:sz w:val="22"/>
          <w:szCs w:val="22"/>
        </w:rPr>
        <w:t xml:space="preserve">纳米Work的营销不是把AI能力包装成功能列表卖出去，而是把360的安全基因、交付能力、FDE服务网络打包成"用得起的AI落地服务"——让企业老板从"不敢用AI"到"有人在帮我落地AI"。</w:t>
      </w:r>
    </w:p>
    <w:p>
      <w:pPr>
        <w:spacing w:after="600"/>
      </w:pPr>
    </w:p>
    <w:p>
      <w:pPr>
        <w:spacing w:before="600"/>
        <w:jc w:val="center"/>
      </w:pP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1B3A6B"/>
          <w:sz w:val="24"/>
          <w:szCs w:val="24"/>
        </w:rPr>
        <w:t xml:space="preserve">纳米Work 企业版</w:t>
      </w:r>
    </w:p>
    <w:p>
      <w:pPr>
        <w:spacing w:after="100"/>
        <w:jc w:val="center"/>
      </w:pPr>
      <w:r>
        <w:rPr>
          <w:color w:val="8A94A6"/>
          <w:sz w:val="20"/>
          <w:szCs w:val="20"/>
        </w:rPr>
        <w:t xml:space="preserve">为企业AI化而生 · 从超级个体到超级组织</w:t>
      </w:r>
    </w:p>
    <w:p>
      <w:pPr>
        <w:jc w:val="center"/>
      </w:pPr>
      <w:r>
        <w:rPr>
          <w:i/>
          <w:iCs/>
          <w:color w:val="8A94A6"/>
          <w:sz w:val="16"/>
          <w:szCs w:val="16"/>
        </w:rPr>
        <w:t xml:space="preserve">ToB不做大曝光，做信任飞轮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6"/>
        <w:sz w:val="16"/>
        <w:szCs w:val="16"/>
      </w:rPr>
      <w:t xml:space="preserve">— </w:t>
    </w:r>
    <w:r>
      <w:rPr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4A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90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A94A6"/>
        <w:sz w:val="16"/>
        <w:szCs w:val="16"/>
      </w:rPr>
      <w:t xml:space="preserve">  纳米Work 企业版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ef24502d391671388473457d8856ff2bbf7ce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5ef24502d391671388473457d8856ff2bbf7ce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2026-08-12T05:35:36.851Z</dcterms:created>
  <dcterms:modified xsi:type="dcterms:W3CDTF">2026-08-12T05:35:36.857Z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