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ackground w:color="F2F6FC"/>
  <w:body>
    <w:p>
      <w:pPr>
        <w:spacing w:after="200" w:before="1600"/>
        <w:jc w:val="center"/>
      </w:pPr>
      <w:r>
        <w:drawing>
          <wp:inline distT="0" distB="0" distL="0" distR="0">
            <wp:extent cx="762000" cy="762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bCs/>
          <w:color w:val="0F2847"/>
          <w:sz w:val="22"/>
          <w:szCs w:val="22"/>
        </w:rPr>
        <w:t xml:space="preserve">纳米Work 企业版</w:t>
      </w:r>
    </w:p>
    <w:p>
      <w:pPr>
        <w:spacing w:after="300"/>
        <w:jc w:val="center"/>
      </w:pPr>
      <w:r>
        <w:rPr>
          <w:b/>
          <w:bCs/>
          <w:color w:val="1B3A6B"/>
          <w:sz w:val="20"/>
          <w:szCs w:val="20"/>
        </w:rPr>
        <w:t xml:space="preserve">MARKETING STRATEGY · 2026</w:t>
      </w:r>
    </w:p>
    <w:p>
      <w:pPr>
        <w:spacing w:after="300"/>
        <w:jc w:val="center"/>
      </w:pPr>
      <w:r>
        <w:rPr>
          <w:b/>
          <w:bCs/>
          <w:color w:val="1A1A2E"/>
          <w:sz w:val="48"/>
          <w:szCs w:val="48"/>
        </w:rPr>
        <w:t xml:space="preserve">六个月GTM营销方案</w:t>
      </w:r>
    </w:p>
    <w:p>
      <w:pPr>
        <w:spacing w:after="400"/>
        <w:jc w:val="center"/>
      </w:pPr>
      <w:r>
        <w:rPr>
          <w:i/>
          <w:iCs/>
          <w:color w:val="8A94A6"/>
          <w:sz w:val="18"/>
          <w:szCs w:val="18"/>
        </w:rPr>
        <w:t xml:space="preserve">不在办公入口与BAT争夺存量，以「企业AI落地服务」重新定义品类
用安全资产做信任杠杆，用FDE网络做交付壁垒</w:t>
      </w:r>
    </w:p>
    <w:p>
      <w:pPr>
        <w:spacing w:after="100"/>
        <w:jc w:val="center"/>
      </w:pPr>
      <w:r>
        <w:rPr>
          <w:color w:val="8A94A6"/>
          <w:sz w:val="18"/>
          <w:szCs w:val="18"/>
        </w:rPr>
        <w:t xml:space="preserve">2026年8月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0F2847"/>
          <w:sz w:val="36"/>
          <w:szCs w:val="36"/>
        </w:rPr>
        <w:t xml:space="preserve">00  核心战略判断</w:t>
      </w:r>
    </w:p>
    <w:p>
      <w:pPr>
        <w:pBdr>
          <w:bottom w:val="single" w:color="1B3A6B" w:sz="6" w:space="1"/>
        </w:pBdr>
        <w:spacing w:after="200" w:before="100"/>
      </w:pPr>
    </w:p>
    <w:p>
      <w:pPr>
        <w:pStyle w:val="Heading3"/>
        <w:spacing w:after="120" w:before="280"/>
      </w:pPr>
      <w:r>
        <w:rPr>
          <w:b/>
          <w:bCs/>
          <w:color w:val="1A1A2E"/>
          <w:sz w:val="26"/>
          <w:szCs w:val="26"/>
        </w:rPr>
        <w:t xml:space="preserve">一、判断</w:t>
      </w:r>
    </w:p>
    <w:p>
      <w:pPr>
        <w:spacing w:after="200" w:line="360"/>
        <w:jc w:val="left"/>
      </w:pPr>
      <w:r>
        <w:rPr>
          <w:b w:val="false"/>
          <w:bCs w:val="false"/>
          <w:i w:val="false"/>
          <w:iCs w:val="false"/>
          <w:color w:val="4A5568"/>
          <w:sz w:val="22"/>
          <w:szCs w:val="22"/>
        </w:rPr>
        <w:t xml:space="preserve">纳米Work企业版不应该在「AI办公智能体」赛道正面竞争。钉钉、飞书、企微的护城河不是AI能力，是组织已经在里面办公——通讯录、审批流、文件、历史沉淀都在那儿。要求客户先离开一个每天都在用的系统，这件事营销解决不了。</w:t>
      </w:r>
    </w:p>
    <w:p>
      <w:pPr>
        <w:pStyle w:val="Heading3"/>
        <w:spacing w:after="120" w:before="280"/>
      </w:pPr>
      <w:r>
        <w:rPr>
          <w:b/>
          <w:bCs/>
          <w:color w:val="1A1A2E"/>
          <w:sz w:val="26"/>
          <w:szCs w:val="26"/>
        </w:rPr>
        <w:t xml:space="preserve">二、打法</w:t>
      </w:r>
    </w:p>
    <w:p>
      <w:pPr>
        <w:spacing w:after="200" w:line="360"/>
        <w:jc w:val="left"/>
      </w:pPr>
      <w:r>
        <w:rPr>
          <w:b w:val="false"/>
          <w:bCs w:val="false"/>
          <w:i w:val="false"/>
          <w:iCs w:val="false"/>
          <w:color w:val="4A5568"/>
          <w:sz w:val="22"/>
          <w:szCs w:val="22"/>
        </w:rPr>
        <w:t xml:space="preserve">把赛道重新定义为「企业AI落地服务」，对手换成收费几十万的咨询公司与SI集成商。在这条赛道上，360的三项资产——安全信任、端到端交付、FDE服务网络——是竞品短期内难以补齐的。</w:t>
      </w:r>
    </w:p>
    <w:p>
      <w:pPr>
        <w:pStyle w:val="Heading3"/>
        <w:spacing w:after="120" w:before="280"/>
      </w:pPr>
      <w:r>
        <w:rPr>
          <w:b/>
          <w:bCs/>
          <w:color w:val="1A1A2E"/>
          <w:sz w:val="26"/>
          <w:szCs w:val="26"/>
        </w:rPr>
        <w:t xml:space="preserve">三、六个月目标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color w:val="4A5568"/>
          <w:sz w:val="21"/>
          <w:szCs w:val="21"/>
        </w:rPr>
        <w:t xml:space="preserve">30家持续运营客户（完成交付后连续60天有真实业务调用，且至少一个场景进入日常流程）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color w:val="4A5568"/>
          <w:sz w:val="21"/>
          <w:szCs w:val="21"/>
        </w:rPr>
        <w:t xml:space="preserve">9个可复制交付包（3行业 × 3场景）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color w:val="4A5568"/>
          <w:sz w:val="21"/>
          <w:szCs w:val="21"/>
        </w:rPr>
        <w:t xml:space="preserve">10个可传播案例</w:t>
      </w:r>
    </w:p>
    <w:p>
      <w:pPr>
        <w:pStyle w:val="Heading3"/>
        <w:spacing w:after="120" w:before="280"/>
      </w:pPr>
      <w:r>
        <w:rPr>
          <w:b/>
          <w:bCs/>
          <w:color w:val="1A1A2E"/>
          <w:sz w:val="26"/>
          <w:szCs w:val="26"/>
        </w:rPr>
        <w:t xml:space="preserve">四、核心风险</w:t>
      </w:r>
    </w:p>
    <w:p>
      <w:pPr>
        <w:spacing w:after="200" w:line="360"/>
        <w:jc w:val="left"/>
      </w:pPr>
      <w:r>
        <w:rPr>
          <w:b w:val="false"/>
          <w:bCs w:val="false"/>
          <w:i w:val="false"/>
          <w:iCs w:val="false"/>
          <w:color w:val="4A5568"/>
          <w:sz w:val="22"/>
          <w:szCs w:val="22"/>
        </w:rPr>
        <w:t xml:space="preserve">交付跟不上。FDE产能是这套打法的关键瓶颈——营销跑在产能前面等于签了没人交付，口碑反噬比签不到单代价更大。整个方案的设计逻辑是：先拿标杆验证交付，再标准化复制，最后才放大。</w:t>
      </w:r>
    </w:p>
    <w:p>
      <w:pPr>
        <w:spacing w:after="200"/>
      </w:pPr>
    </w:p>
    <w:p>
      <w:pPr>
        <w:pStyle w:val="Heading1"/>
        <w:spacing w:after="200" w:before="400"/>
      </w:pPr>
      <w:r>
        <w:rPr>
          <w:b/>
          <w:bCs/>
          <w:color w:val="0F2847"/>
          <w:sz w:val="36"/>
          <w:szCs w:val="36"/>
        </w:rPr>
        <w:t xml:space="preserve">01  市场判断与品类定义</w:t>
      </w:r>
    </w:p>
    <w:p>
      <w:pPr>
        <w:pBdr>
          <w:bottom w:val="single" w:color="1B3A6B" w:sz="6" w:space="1"/>
        </w:pBdr>
        <w:spacing w:after="200" w:before="100"/>
      </w:pPr>
    </w:p>
    <w:p>
      <w:pPr>
        <w:pStyle w:val="Heading3"/>
        <w:spacing w:after="120" w:before="280"/>
      </w:pPr>
      <w:r>
        <w:rPr>
          <w:b/>
          <w:bCs/>
          <w:color w:val="1A1A2E"/>
          <w:sz w:val="26"/>
          <w:szCs w:val="26"/>
        </w:rPr>
        <w:t xml:space="preserve">1.1  三家竞品的模式——我们不打</w:t>
      </w:r>
    </w:p>
    <w:p>
      <w:pPr>
        <w:spacing w:after="200" w:line="360"/>
        <w:jc w:val="left"/>
      </w:pPr>
      <w:r>
        <w:rPr>
          <w:b w:val="false"/>
          <w:bCs w:val="false"/>
          <w:i w:val="false"/>
          <w:iCs w:val="false"/>
          <w:color w:val="4A5568"/>
          <w:sz w:val="22"/>
          <w:szCs w:val="22"/>
        </w:rPr>
        <w:t xml:space="preserve">钉钉→千问办公、飞书→Aily、企业微信→WorkBuddy，三家BAT都是"办公生态+嵌入AI智能体"模式。它们的护城河不是AI，是组织已经在里面办公。正面进攻等于要求客户换一套每天都在用的系统。</w:t>
      </w:r>
    </w:p>
    <w:p>
      <w:pPr>
        <w:spacing w:after="200" w:line="360"/>
        <w:jc w:val="left"/>
      </w:pPr>
      <w:r>
        <w:rPr>
          <w:b w:val="false"/>
          <w:bCs w:val="false"/>
          <w:i w:val="false"/>
          <w:iCs w:val="false"/>
          <w:color w:val="4A5568"/>
          <w:sz w:val="22"/>
          <w:szCs w:val="22"/>
        </w:rPr>
        <w:t xml:space="preserve">其他竞品：WPS灵犀、TRAE Work、Microsoft 365 Copilot、ChatGPT、腾讯元宝、豆包、Kimi、Notion AI。这些产品要么绑定自有生态，要么是通用AI助手，在企业落地服务层面缺乏深度。</w:t>
      </w:r>
    </w:p>
    <w:p>
      <w:pPr>
        <w:pStyle w:val="Heading3"/>
        <w:spacing w:after="120" w:before="280"/>
      </w:pPr>
      <w:r>
        <w:rPr>
          <w:b/>
          <w:bCs/>
          <w:color w:val="1A1A2E"/>
          <w:sz w:val="26"/>
          <w:szCs w:val="26"/>
        </w:rPr>
        <w:t xml:space="preserve">1.2  品类重新定义</w:t>
      </w:r>
    </w:p>
    <w:p>
      <w:pPr>
        <w:spacing w:after="200" w:line="360"/>
        <w:jc w:val="left"/>
      </w:pPr>
      <w:r>
        <w:rPr>
          <w:b w:val="false"/>
          <w:bCs w:val="false"/>
          <w:i w:val="false"/>
          <w:iCs w:val="false"/>
          <w:color w:val="4A5568"/>
          <w:sz w:val="22"/>
          <w:szCs w:val="22"/>
        </w:rPr>
        <w:t xml:space="preserve">从「卖工具」切换到「卖用得起的AI落地服务」。在工具赛道上客户会逐条比功能，在落地服务赛道上客户比的是「谁能把这件事做成」。叙事框架：超级个体→超级组织。</w:t>
      </w:r>
    </w:p>
    <w:p>
      <w:pPr>
        <w:pStyle w:val="Heading3"/>
        <w:spacing w:after="120" w:before="280"/>
      </w:pPr>
      <w:r>
        <w:rPr>
          <w:b/>
          <w:bCs/>
          <w:color w:val="1A1A2E"/>
          <w:sz w:val="26"/>
          <w:szCs w:val="26"/>
        </w:rPr>
        <w:t xml:space="preserve">1.3  三项护城河，以及各自的真实边界</w:t>
      </w:r>
    </w:p>
    <w:p>
      <w:pPr>
        <w:pStyle w:val="Heading4"/>
        <w:spacing w:after="80" w:before="200"/>
      </w:pPr>
      <w:r>
        <w:rPr>
          <w:b/>
          <w:bCs/>
          <w:color w:val="1A1A2E"/>
          <w:sz w:val="22"/>
          <w:szCs w:val="22"/>
        </w:rPr>
        <w:t xml:space="preserve">安全 = 信任底座</w:t>
      </w:r>
    </w:p>
    <w:p>
      <w:pPr>
        <w:spacing w:after="200" w:line="360"/>
        <w:jc w:val="left"/>
      </w:pPr>
      <w:r>
        <w:rPr>
          <w:b w:val="false"/>
          <w:bCs w:val="false"/>
          <w:i w:val="false"/>
          <w:iCs w:val="false"/>
          <w:color w:val="4A5568"/>
          <w:sz w:val="22"/>
          <w:szCs w:val="22"/>
        </w:rPr>
        <w:t xml:space="preserve">不是功能卖点，而是准入门槛。360累计捕获60个境外APT组织，3800+安全专家团队，覆盖2万家政企客户。市场上63.6%的AI供应商未在法律文件中披露第三方数据转发，企业用AI最大的顾虑就是数据安全。360的安全能力不是后贴的，是20年攻防积累的原生能力。</w:t>
      </w:r>
    </w:p>
    <w:p>
      <w:pPr>
        <w:spacing w:after="200" w:line="360"/>
        <w:jc w:val="left"/>
      </w:pPr>
      <w:r>
        <w:rPr>
          <w:b w:val="false"/>
          <w:bCs w:val="false"/>
          <w:i w:val="false"/>
          <w:iCs w:val="false"/>
          <w:color w:val="4A5568"/>
          <w:sz w:val="22"/>
          <w:szCs w:val="22"/>
        </w:rPr>
        <w:t xml:space="preserve">边界：安全是门槛不是卖点——客户因为信任你才愿意试，但最终留不留得住看交付效果。</w:t>
      </w:r>
    </w:p>
    <w:p>
      <w:pPr>
        <w:pStyle w:val="Heading4"/>
        <w:spacing w:after="80" w:before="200"/>
      </w:pPr>
      <w:r>
        <w:rPr>
          <w:b/>
          <w:bCs/>
          <w:color w:val="1A1A2E"/>
          <w:sz w:val="22"/>
          <w:szCs w:val="22"/>
        </w:rPr>
        <w:t xml:space="preserve">交付 = 服务承诺</w:t>
      </w:r>
    </w:p>
    <w:p>
      <w:pPr>
        <w:spacing w:after="200" w:line="360"/>
        <w:jc w:val="left"/>
      </w:pPr>
      <w:r>
        <w:rPr>
          <w:b w:val="false"/>
          <w:bCs w:val="false"/>
          <w:i w:val="false"/>
          <w:iCs w:val="false"/>
          <w:color w:val="4A5568"/>
          <w:sz w:val="22"/>
          <w:szCs w:val="22"/>
        </w:rPr>
        <w:t xml:space="preserve">竞品交付"你用AI做出来的"，纳米Work交付"AI替你做出来的"。纳米1314任务引擎：用户输入目标→AI拆解任务→调度多专家→云端7×24执行→交付成品。</w:t>
      </w:r>
    </w:p>
    <w:p>
      <w:pPr>
        <w:pStyle w:val="Heading4"/>
        <w:spacing w:after="80" w:before="200"/>
      </w:pPr>
      <w:r>
        <w:rPr>
          <w:b/>
          <w:bCs/>
          <w:color w:val="1A1A2E"/>
          <w:sz w:val="22"/>
          <w:szCs w:val="22"/>
        </w:rPr>
        <w:t xml:space="preserve">交付场景分级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2250"/>
        <w:gridCol w:w="2250"/>
        <w:gridCol w:w="2250"/>
      </w:tblGrid>
      <w:tr>
        <w:trPr>
          <w:tblHeader/>
        </w:trPr>
        <w:tc>
          <w:tcPr>
            <w:tcW w:type="dxa" w:w="2250"/>
            <w:shd w:fill="E8F0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B3A6B"/>
                <w:sz w:val="18"/>
                <w:szCs w:val="18"/>
              </w:rPr>
              <w:t xml:space="preserve">级别</w:t>
            </w:r>
          </w:p>
        </w:tc>
        <w:tc>
          <w:tcPr>
            <w:tcW w:type="dxa" w:w="2250"/>
            <w:shd w:fill="E8F0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B3A6B"/>
                <w:sz w:val="18"/>
                <w:szCs w:val="18"/>
              </w:rPr>
              <w:t xml:space="preserve">定义</w:t>
            </w:r>
          </w:p>
        </w:tc>
        <w:tc>
          <w:tcPr>
            <w:tcW w:type="dxa" w:w="2250"/>
            <w:shd w:fill="E8F0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B3A6B"/>
                <w:sz w:val="18"/>
                <w:szCs w:val="18"/>
              </w:rPr>
              <w:t xml:space="preserve">代表场景</w:t>
            </w:r>
          </w:p>
        </w:tc>
        <w:tc>
          <w:tcPr>
            <w:tcW w:type="dxa" w:w="2250"/>
            <w:shd w:fill="E8F0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B3A6B"/>
                <w:sz w:val="18"/>
                <w:szCs w:val="18"/>
              </w:rPr>
              <w:t xml:space="preserve">交付承诺</w:t>
            </w:r>
          </w:p>
        </w:tc>
      </w:tr>
      <w:tr>
        <w:tc>
          <w:tcPr>
            <w:tcW w:type="dxa" w:w="22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4A5568"/>
                <w:sz w:val="18"/>
                <w:szCs w:val="18"/>
              </w:rPr>
              <w:t xml:space="preserve">A级</w:t>
            </w:r>
          </w:p>
        </w:tc>
        <w:tc>
          <w:tcPr>
            <w:tcW w:type="dxa" w:w="22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4A5568"/>
                <w:sz w:val="18"/>
                <w:szCs w:val="18"/>
              </w:rPr>
              <w:t xml:space="preserve">可全自动交付</w:t>
            </w:r>
          </w:p>
        </w:tc>
        <w:tc>
          <w:tcPr>
            <w:tcW w:type="dxa" w:w="22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4A5568"/>
                <w:sz w:val="18"/>
                <w:szCs w:val="18"/>
              </w:rPr>
              <w:t xml:space="preserve">招投标监控、多语种内容生成、合规台账</w:t>
            </w:r>
          </w:p>
        </w:tc>
        <w:tc>
          <w:tcPr>
            <w:tcW w:type="dxa" w:w="22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4A5568"/>
                <w:sz w:val="18"/>
                <w:szCs w:val="18"/>
              </w:rPr>
              <w:t xml:space="preserve">7×24无人值守</w:t>
            </w:r>
          </w:p>
        </w:tc>
      </w:tr>
      <w:tr>
        <w:tc>
          <w:tcPr>
            <w:tcW w:type="dxa" w:w="22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4A5568"/>
                <w:sz w:val="18"/>
                <w:szCs w:val="18"/>
              </w:rPr>
              <w:t xml:space="preserve">B级</w:t>
            </w:r>
          </w:p>
        </w:tc>
        <w:tc>
          <w:tcPr>
            <w:tcW w:type="dxa" w:w="22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4A5568"/>
                <w:sz w:val="18"/>
                <w:szCs w:val="18"/>
              </w:rPr>
              <w:t xml:space="preserve">AI交付+人工审核</w:t>
            </w:r>
          </w:p>
        </w:tc>
        <w:tc>
          <w:tcPr>
            <w:tcW w:type="dxa" w:w="22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4A5568"/>
                <w:sz w:val="18"/>
                <w:szCs w:val="18"/>
              </w:rPr>
              <w:t xml:space="preserve">合同审查、营销方案生成、客户分析</w:t>
            </w:r>
          </w:p>
        </w:tc>
        <w:tc>
          <w:tcPr>
            <w:tcW w:type="dxa" w:w="22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4A5568"/>
                <w:sz w:val="18"/>
                <w:szCs w:val="18"/>
              </w:rPr>
              <w:t xml:space="preserve">AI完成80%，人工判断</w:t>
            </w:r>
          </w:p>
        </w:tc>
      </w:tr>
      <w:tr>
        <w:tc>
          <w:tcPr>
            <w:tcW w:type="dxa" w:w="22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4A5568"/>
                <w:sz w:val="18"/>
                <w:szCs w:val="18"/>
              </w:rPr>
              <w:t xml:space="preserve">C级</w:t>
            </w:r>
          </w:p>
        </w:tc>
        <w:tc>
          <w:tcPr>
            <w:tcW w:type="dxa" w:w="22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4A5568"/>
                <w:sz w:val="18"/>
                <w:szCs w:val="18"/>
              </w:rPr>
              <w:t xml:space="preserve">AI辅助+人主导</w:t>
            </w:r>
          </w:p>
        </w:tc>
        <w:tc>
          <w:tcPr>
            <w:tcW w:type="dxa" w:w="22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4A5568"/>
                <w:sz w:val="18"/>
                <w:szCs w:val="18"/>
              </w:rPr>
              <w:t xml:space="preserve">战略规划、创意决策</w:t>
            </w:r>
          </w:p>
        </w:tc>
        <w:tc>
          <w:tcPr>
            <w:tcW w:type="dxa" w:w="22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4A5568"/>
                <w:sz w:val="18"/>
                <w:szCs w:val="18"/>
              </w:rPr>
              <w:t xml:space="preserve">提供信息支持，不做交付承诺</w:t>
            </w:r>
          </w:p>
        </w:tc>
      </w:tr>
    </w:tbl>
    <w:p>
      <w:pPr>
        <w:spacing w:after="100"/>
      </w:pPr>
    </w:p>
    <w:p>
      <w:pPr>
        <w:spacing w:after="200" w:line="360"/>
        <w:jc w:val="left"/>
      </w:pPr>
      <w:r>
        <w:rPr>
          <w:b w:val="false"/>
          <w:bCs w:val="false"/>
          <w:i w:val="false"/>
          <w:iCs w:val="false"/>
          <w:color w:val="4A5568"/>
          <w:sz w:val="22"/>
          <w:szCs w:val="22"/>
        </w:rPr>
        <w:t xml:space="preserve">边界：A级场景才做"端到端交付"的承诺，B级标注"AI初稿+人工审核"，C级不承诺。不overpromise是信任的底线。</w:t>
      </w:r>
    </w:p>
    <w:p>
      <w:pPr>
        <w:pStyle w:val="Heading4"/>
        <w:spacing w:after="80" w:before="200"/>
      </w:pPr>
      <w:r>
        <w:rPr>
          <w:b/>
          <w:bCs/>
          <w:color w:val="1A1A2E"/>
          <w:sz w:val="22"/>
          <w:szCs w:val="22"/>
        </w:rPr>
        <w:t xml:space="preserve">FDE = 核心产能</w:t>
      </w:r>
    </w:p>
    <w:p>
      <w:pPr>
        <w:spacing w:after="200" w:line="360"/>
        <w:jc w:val="left"/>
      </w:pPr>
      <w:r>
        <w:rPr>
          <w:b w:val="false"/>
          <w:bCs w:val="false"/>
          <w:i w:val="false"/>
          <w:iCs w:val="false"/>
          <w:color w:val="4A5568"/>
          <w:sz w:val="22"/>
          <w:szCs w:val="22"/>
        </w:rPr>
        <w:t xml:space="preserve">依托360白帽子群体→FDE转型+城市合伙人=网格式AI落地服务网络。FDE三级认证：训练工匠→AI业务专家→AI咨询架构师。白帽子转型需要分三阶段：学AI产品操作（2周）→跟单学业务理解（4周）→独立交付学项目管理（8周）。</w:t>
      </w:r>
    </w:p>
    <w:p>
      <w:pPr>
        <w:spacing w:after="200" w:line="360"/>
        <w:jc w:val="left"/>
      </w:pPr>
      <w:r>
        <w:rPr>
          <w:b w:val="false"/>
          <w:bCs w:val="false"/>
          <w:i w:val="false"/>
          <w:iCs w:val="false"/>
          <w:color w:val="4A5568"/>
          <w:sz w:val="22"/>
          <w:szCs w:val="22"/>
        </w:rPr>
        <w:t xml:space="preserve">边界：FDE是人力密集型交付，规模化天花板明显。方案设计轻量级自服务路径做分流。</w:t>
      </w:r>
    </w:p>
    <w:p>
      <w:pPr>
        <w:spacing w:after="200"/>
      </w:pPr>
    </w:p>
    <w:p>
      <w:pPr>
        <w:pStyle w:val="Heading1"/>
        <w:spacing w:after="200" w:before="400"/>
      </w:pPr>
      <w:r>
        <w:rPr>
          <w:b/>
          <w:bCs/>
          <w:color w:val="0F2847"/>
          <w:sz w:val="36"/>
          <w:szCs w:val="36"/>
        </w:rPr>
        <w:t xml:space="preserve">02  目标客户与优先级</w:t>
      </w:r>
    </w:p>
    <w:p>
      <w:pPr>
        <w:pBdr>
          <w:bottom w:val="single" w:color="1B3A6B" w:sz="6" w:space="1"/>
        </w:pBdr>
        <w:spacing w:after="200" w:before="100"/>
      </w:pPr>
    </w:p>
    <w:p>
      <w:pPr>
        <w:pStyle w:val="Heading3"/>
        <w:spacing w:after="120" w:before="280"/>
      </w:pPr>
      <w:r>
        <w:rPr>
          <w:b/>
          <w:bCs/>
          <w:color w:val="1A1A2E"/>
          <w:sz w:val="26"/>
          <w:szCs w:val="26"/>
        </w:rPr>
        <w:t xml:space="preserve">2.1  把安全客户变成AI客户</w:t>
      </w:r>
    </w:p>
    <w:p>
      <w:pPr>
        <w:spacing w:after="200" w:line="360"/>
        <w:jc w:val="left"/>
      </w:pPr>
      <w:r>
        <w:rPr>
          <w:b w:val="false"/>
          <w:bCs w:val="false"/>
          <w:i w:val="false"/>
          <w:iCs w:val="false"/>
          <w:color w:val="4A5568"/>
          <w:sz w:val="22"/>
          <w:szCs w:val="22"/>
        </w:rPr>
        <w:t xml:space="preserve">首先从存量安全客户库转化——已付费、已信任、已有采购关系与对接人。按三条件筛出首批300家：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color w:val="4A5568"/>
          <w:sz w:val="21"/>
          <w:szCs w:val="21"/>
        </w:rPr>
        <w:t xml:space="preserve">员工50-500人（中小企业）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color w:val="4A5568"/>
          <w:sz w:val="21"/>
          <w:szCs w:val="21"/>
        </w:rPr>
        <w:t xml:space="preserve">近12个月有续费记录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color w:val="4A5568"/>
          <w:sz w:val="21"/>
          <w:szCs w:val="21"/>
        </w:rPr>
        <w:t xml:space="preserve">属于三个Beachhead行业</w:t>
      </w:r>
    </w:p>
    <w:p>
      <w:pPr>
        <w:spacing w:after="200" w:line="360"/>
        <w:jc w:val="left"/>
      </w:pPr>
      <w:r>
        <w:rPr>
          <w:b w:val="false"/>
          <w:bCs w:val="false"/>
          <w:i w:val="false"/>
          <w:iCs w:val="false"/>
          <w:color w:val="4A5568"/>
          <w:sz w:val="22"/>
          <w:szCs w:val="22"/>
        </w:rPr>
        <w:t xml:space="preserve">由安全侧客户经理带FDE二次拜访，不做产品推销，做免费「AI场景诊断」。从"你在卖AI工具"变成"你在帮我看AI怎么用安全"——心智完全不同。</w:t>
      </w:r>
    </w:p>
    <w:p>
      <w:pPr>
        <w:pStyle w:val="Heading3"/>
        <w:spacing w:after="120" w:before="280"/>
      </w:pPr>
      <w:r>
        <w:rPr>
          <w:b/>
          <w:bCs/>
          <w:color w:val="1A1A2E"/>
          <w:sz w:val="26"/>
          <w:szCs w:val="26"/>
        </w:rPr>
        <w:t xml:space="preserve">2.2  三个Beachhead行业建议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2250"/>
        <w:gridCol w:w="2250"/>
        <w:gridCol w:w="2250"/>
      </w:tblGrid>
      <w:tr>
        <w:trPr>
          <w:tblHeader/>
        </w:trPr>
        <w:tc>
          <w:tcPr>
            <w:tcW w:type="dxa" w:w="2250"/>
            <w:shd w:fill="E8F0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B3A6B"/>
                <w:sz w:val="18"/>
                <w:szCs w:val="18"/>
              </w:rPr>
              <w:t xml:space="preserve">行业</w:t>
            </w:r>
          </w:p>
        </w:tc>
        <w:tc>
          <w:tcPr>
            <w:tcW w:type="dxa" w:w="2250"/>
            <w:shd w:fill="E8F0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B3A6B"/>
                <w:sz w:val="18"/>
                <w:szCs w:val="18"/>
              </w:rPr>
              <w:t xml:space="preserve">选择理由</w:t>
            </w:r>
          </w:p>
        </w:tc>
        <w:tc>
          <w:tcPr>
            <w:tcW w:type="dxa" w:w="2250"/>
            <w:shd w:fill="E8F0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B3A6B"/>
                <w:sz w:val="18"/>
                <w:szCs w:val="18"/>
              </w:rPr>
              <w:t xml:space="preserve">首个标杆案例</w:t>
            </w:r>
          </w:p>
        </w:tc>
        <w:tc>
          <w:tcPr>
            <w:tcW w:type="dxa" w:w="2250"/>
            <w:shd w:fill="E8F0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B3A6B"/>
                <w:sz w:val="18"/>
                <w:szCs w:val="18"/>
              </w:rPr>
              <w:t xml:space="preserve">A级交付场景</w:t>
            </w:r>
          </w:p>
        </w:tc>
      </w:tr>
      <w:tr>
        <w:tc>
          <w:tcPr>
            <w:tcW w:type="dxa" w:w="22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4A5568"/>
                <w:sz w:val="18"/>
                <w:szCs w:val="18"/>
              </w:rPr>
              <w:t xml:space="preserve">工程咨询</w:t>
            </w:r>
          </w:p>
        </w:tc>
        <w:tc>
          <w:tcPr>
            <w:tcW w:type="dxa" w:w="22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4A5568"/>
                <w:sz w:val="18"/>
                <w:szCs w:val="18"/>
              </w:rPr>
              <w:t xml:space="preserve">有招投标监控刚需，ROI可量化</w:t>
            </w:r>
          </w:p>
        </w:tc>
        <w:tc>
          <w:tcPr>
            <w:tcW w:type="dxa" w:w="22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4A5568"/>
                <w:sz w:val="18"/>
                <w:szCs w:val="18"/>
              </w:rPr>
              <w:t xml:space="preserve">广东企业筛出11亿线索</w:t>
            </w:r>
          </w:p>
        </w:tc>
        <w:tc>
          <w:tcPr>
            <w:tcW w:type="dxa" w:w="22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4A5568"/>
                <w:sz w:val="18"/>
                <w:szCs w:val="18"/>
              </w:rPr>
              <w:t xml:space="preserve">每日8:00前交付匹配准确率&gt;90%的项目清单</w:t>
            </w:r>
          </w:p>
        </w:tc>
      </w:tr>
      <w:tr>
        <w:tc>
          <w:tcPr>
            <w:tcW w:type="dxa" w:w="22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4A5568"/>
                <w:sz w:val="18"/>
                <w:szCs w:val="18"/>
              </w:rPr>
              <w:t xml:space="preserve">跨境电商</w:t>
            </w:r>
          </w:p>
        </w:tc>
        <w:tc>
          <w:tcPr>
            <w:tcW w:type="dxa" w:w="22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4A5568"/>
                <w:sz w:val="18"/>
                <w:szCs w:val="18"/>
              </w:rPr>
              <w:t xml:space="preserve">多语种多时区场景不可替代</w:t>
            </w:r>
          </w:p>
        </w:tc>
        <w:tc>
          <w:tcPr>
            <w:tcW w:type="dxa" w:w="22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4A5568"/>
                <w:sz w:val="18"/>
                <w:szCs w:val="18"/>
              </w:rPr>
              <w:t xml:space="preserve">中英双语双端宣传套图</w:t>
            </w:r>
          </w:p>
        </w:tc>
        <w:tc>
          <w:tcPr>
            <w:tcW w:type="dxa" w:w="22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4A5568"/>
                <w:sz w:val="18"/>
                <w:szCs w:val="18"/>
              </w:rPr>
              <w:t xml:space="preserve">一天内产出多语种宣传物料</w:t>
            </w:r>
          </w:p>
        </w:tc>
      </w:tr>
      <w:tr>
        <w:tc>
          <w:tcPr>
            <w:tcW w:type="dxa" w:w="22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4A5568"/>
                <w:sz w:val="18"/>
                <w:szCs w:val="18"/>
              </w:rPr>
              <w:t xml:space="preserve">餐饮连锁</w:t>
            </w:r>
          </w:p>
        </w:tc>
        <w:tc>
          <w:tcPr>
            <w:tcW w:type="dxa" w:w="22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4A5568"/>
                <w:sz w:val="18"/>
                <w:szCs w:val="18"/>
              </w:rPr>
              <w:t xml:space="preserve">1人管多门店故事性强</w:t>
            </w:r>
          </w:p>
        </w:tc>
        <w:tc>
          <w:tcPr>
            <w:tcW w:type="dxa" w:w="22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4A5568"/>
                <w:sz w:val="18"/>
                <w:szCs w:val="18"/>
              </w:rPr>
              <w:t xml:space="preserve">阿布拉江1家扩到6家</w:t>
            </w:r>
          </w:p>
        </w:tc>
        <w:tc>
          <w:tcPr>
            <w:tcW w:type="dxa" w:w="22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4A5568"/>
                <w:sz w:val="18"/>
                <w:szCs w:val="18"/>
              </w:rPr>
              <w:t xml:space="preserve">品牌营销+门店数据分析+法务咨询</w:t>
            </w:r>
          </w:p>
        </w:tc>
      </w:tr>
    </w:tbl>
    <w:p>
      <w:pPr>
        <w:spacing w:after="100"/>
      </w:pPr>
    </w:p>
    <w:p>
      <w:pPr>
        <w:spacing w:after="200" w:line="360"/>
        <w:jc w:val="left"/>
      </w:pPr>
      <w:r>
        <w:rPr>
          <w:b w:val="false"/>
          <w:bCs w:val="false"/>
          <w:i w:val="false"/>
          <w:iCs w:val="false"/>
          <w:color w:val="4A5568"/>
          <w:sz w:val="22"/>
          <w:szCs w:val="22"/>
        </w:rPr>
        <w:t xml:space="preserve">案例降维策略：每个行业选"最不像会用AI的客户"做标杆——连早餐店老板都能用起来，说明这件事不需要技术门槛。</w:t>
      </w:r>
    </w:p>
    <w:p>
      <w:pPr>
        <w:spacing w:after="200"/>
      </w:pPr>
    </w:p>
    <w:p>
      <w:pPr>
        <w:pStyle w:val="Heading1"/>
        <w:spacing w:after="200" w:before="400"/>
      </w:pPr>
      <w:r>
        <w:rPr>
          <w:b/>
          <w:bCs/>
          <w:color w:val="0F2847"/>
          <w:sz w:val="36"/>
          <w:szCs w:val="36"/>
        </w:rPr>
        <w:t xml:space="preserve">03  指标体系</w:t>
      </w:r>
    </w:p>
    <w:p>
      <w:pPr>
        <w:pBdr>
          <w:bottom w:val="single" w:color="1B3A6B" w:sz="6" w:space="1"/>
        </w:pBdr>
        <w:spacing w:after="200" w:before="100"/>
      </w:pPr>
    </w:p>
    <w:p>
      <w:pPr>
        <w:pStyle w:val="Heading3"/>
        <w:spacing w:after="120" w:before="280"/>
      </w:pPr>
      <w:r>
        <w:rPr>
          <w:b/>
          <w:bCs/>
          <w:color w:val="1A1A2E"/>
          <w:sz w:val="26"/>
          <w:szCs w:val="26"/>
        </w:rPr>
        <w:t xml:space="preserve">3.1  北极星指标</w:t>
      </w:r>
    </w:p>
    <w:p>
      <w:pPr>
        <w:spacing w:after="200" w:line="360"/>
        <w:jc w:val="left"/>
      </w:pPr>
      <w:r>
        <w:rPr>
          <w:b w:val="false"/>
          <w:bCs w:val="false"/>
          <w:i w:val="false"/>
          <w:iCs w:val="false"/>
          <w:color w:val="4A5568"/>
          <w:sz w:val="22"/>
          <w:szCs w:val="22"/>
        </w:rPr>
        <w:t xml:space="preserve">持续运营客户数。定义：完成交付后连续60天有真实业务调用，且至少一个场景进入日常流程。目标30家。</w:t>
      </w:r>
    </w:p>
    <w:p>
      <w:pPr>
        <w:spacing w:after="200" w:line="360"/>
        <w:jc w:val="left"/>
      </w:pPr>
      <w:r>
        <w:rPr>
          <w:b w:val="false"/>
          <w:bCs w:val="false"/>
          <w:i w:val="false"/>
          <w:iCs w:val="false"/>
          <w:color w:val="4A5568"/>
          <w:sz w:val="22"/>
          <w:szCs w:val="22"/>
        </w:rPr>
        <w:t xml:space="preserve">为什么不看营收：行业数据显示85%企业能完成POC但只有15%能持续运营。前6个月的核心是进入那15%，有了持续运营的客户，营收是自然结果。</w:t>
      </w:r>
    </w:p>
    <w:p>
      <w:pPr>
        <w:pStyle w:val="Heading3"/>
        <w:spacing w:after="120" w:before="280"/>
      </w:pPr>
      <w:r>
        <w:rPr>
          <w:b/>
          <w:bCs/>
          <w:color w:val="1A1A2E"/>
          <w:sz w:val="26"/>
          <w:szCs w:val="26"/>
        </w:rPr>
        <w:t xml:space="preserve">3.2  辅助指标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shd w:fill="E8F0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B3A6B"/>
                <w:sz w:val="18"/>
                <w:szCs w:val="18"/>
              </w:rPr>
              <w:t xml:space="preserve">指标</w:t>
            </w:r>
          </w:p>
        </w:tc>
        <w:tc>
          <w:tcPr>
            <w:tcW w:type="dxa" w:w="3000"/>
            <w:shd w:fill="E8F0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B3A6B"/>
                <w:sz w:val="18"/>
                <w:szCs w:val="18"/>
              </w:rPr>
              <w:t xml:space="preserve">6个月目标</w:t>
            </w:r>
          </w:p>
        </w:tc>
        <w:tc>
          <w:tcPr>
            <w:tcW w:type="dxa" w:w="3000"/>
            <w:shd w:fill="E8F0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B3A6B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4A5568"/>
                <w:sz w:val="18"/>
                <w:szCs w:val="18"/>
              </w:rPr>
              <w:t xml:space="preserve">可复制交付包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4A5568"/>
                <w:sz w:val="18"/>
                <w:szCs w:val="18"/>
              </w:rPr>
              <w:t xml:space="preserve">9个（3行业×3场景）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4A5568"/>
                <w:sz w:val="18"/>
                <w:szCs w:val="18"/>
              </w:rPr>
              <w:t xml:space="preserve">每包含场景定义/配置模板/验收标准/交付话术</w:t>
            </w:r>
          </w:p>
        </w:tc>
      </w:tr>
      <w:t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4A5568"/>
                <w:sz w:val="18"/>
                <w:szCs w:val="18"/>
              </w:rPr>
              <w:t xml:space="preserve">可传播案例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4A5568"/>
                <w:sz w:val="18"/>
                <w:szCs w:val="18"/>
              </w:rPr>
              <w:t xml:space="preserve">10个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4A5568"/>
                <w:sz w:val="18"/>
                <w:szCs w:val="18"/>
              </w:rPr>
              <w:t xml:space="preserve">覆盖3行业，每个案例产出短视频+图文+数据页三件套</w:t>
            </w:r>
          </w:p>
        </w:tc>
      </w:tr>
      <w:t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4A5568"/>
                <w:sz w:val="18"/>
                <w:szCs w:val="18"/>
              </w:rPr>
              <w:t xml:space="preserve">FDE认证活跃数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4A5568"/>
                <w:sz w:val="18"/>
                <w:szCs w:val="18"/>
              </w:rPr>
              <w:t xml:space="preserve">100人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4A5568"/>
                <w:sz w:val="18"/>
                <w:szCs w:val="18"/>
              </w:rPr>
              <w:t xml:space="preserve">保障交付产能的关键供给指标</w:t>
            </w:r>
          </w:p>
        </w:tc>
      </w:tr>
      <w:t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4A5568"/>
                <w:sz w:val="18"/>
                <w:szCs w:val="18"/>
              </w:rPr>
              <w:t xml:space="preserve">全链路转化率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4A5568"/>
                <w:sz w:val="18"/>
                <w:szCs w:val="18"/>
              </w:rPr>
              <w:t xml:space="preserve">到岗后定基线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4A5568"/>
                <w:sz w:val="18"/>
                <w:szCs w:val="18"/>
              </w:rPr>
              <w:t xml:space="preserve">从触达到深度试用的各环节转化</w:t>
            </w:r>
          </w:p>
        </w:tc>
      </w:tr>
    </w:tbl>
    <w:p>
      <w:pPr>
        <w:spacing w:after="200"/>
      </w:pPr>
    </w:p>
    <w:p>
      <w:pPr>
        <w:pStyle w:val="Heading1"/>
        <w:spacing w:after="200" w:before="400"/>
      </w:pPr>
      <w:r>
        <w:rPr>
          <w:b/>
          <w:bCs/>
          <w:color w:val="0F2847"/>
          <w:sz w:val="36"/>
          <w:szCs w:val="36"/>
        </w:rPr>
        <w:t xml:space="preserve">04  六个月执行路线</w:t>
      </w:r>
    </w:p>
    <w:p>
      <w:pPr>
        <w:pBdr>
          <w:bottom w:val="single" w:color="1B3A6B" w:sz="6" w:space="1"/>
        </w:pBdr>
        <w:spacing w:after="200" w:before="100"/>
      </w:pPr>
    </w:p>
    <w:p>
      <w:pPr>
        <w:spacing w:after="200" w:line="360"/>
        <w:jc w:val="left"/>
      </w:pPr>
      <w:r>
        <w:rPr>
          <w:b w:val="false"/>
          <w:bCs w:val="false"/>
          <w:i w:val="false"/>
          <w:iCs w:val="false"/>
          <w:color w:val="4A5568"/>
          <w:sz w:val="22"/>
          <w:szCs w:val="22"/>
        </w:rPr>
        <w:t xml:space="preserve">共三个阶段，每阶段只认一个关键结果，并预设退出条件。</w:t>
      </w:r>
    </w:p>
    <w:p>
      <w:pPr>
        <w:pStyle w:val="Heading3"/>
        <w:spacing w:after="120" w:before="280"/>
      </w:pPr>
      <w:r>
        <w:rPr>
          <w:b/>
          <w:bCs/>
          <w:color w:val="1A1A2E"/>
          <w:sz w:val="26"/>
          <w:szCs w:val="26"/>
        </w:rPr>
        <w:t xml:space="preserve">4.1  第一阶段 · 1-30天 · 立信</w:t>
      </w:r>
    </w:p>
    <w:p>
      <w:pPr>
        <w:spacing w:after="200" w:line="360"/>
        <w:jc w:val="left"/>
      </w:pPr>
      <w:r>
        <w:rPr>
          <w:b w:val="false"/>
          <w:bCs w:val="false"/>
          <w:i w:val="false"/>
          <w:iCs w:val="false"/>
          <w:color w:val="4A5568"/>
          <w:sz w:val="22"/>
          <w:szCs w:val="22"/>
        </w:rPr>
        <w:t xml:space="preserve">关键结果：10家共创客户签署协议。退出条件：如果前30天签不到5家，说明品类叙事或客户筛选标准需要调整，不进入下一阶段。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color w:val="4A5568"/>
          <w:sz w:val="21"/>
          <w:szCs w:val="21"/>
        </w:rPr>
        <w:t xml:space="preserve">品类叙事定稿并全员对齐——销售、渠道、客服口径统一。核心一句话："不卖工具，卖用得起的AI落地服务"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color w:val="4A5568"/>
          <w:sz w:val="21"/>
          <w:szCs w:val="21"/>
        </w:rPr>
        <w:t xml:space="preserve">存量客户激活——安全侧客户经理按三条件筛出500家可触达池，主题是免费AI场景诊断而非产品介绍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color w:val="4A5568"/>
          <w:sz w:val="21"/>
          <w:szCs w:val="21"/>
        </w:rPr>
        <w:t xml:space="preserve">诊断工具包上线——20题标准问卷+报告模板+ROI测算器，渠道与FDE拿了就能用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color w:val="4A5568"/>
          <w:sz w:val="21"/>
          <w:szCs w:val="21"/>
        </w:rPr>
        <w:t xml:space="preserve">10家共创客户签署协议——给予优先功能、联合署名、创始价格，换取可公开的数据与故事使用权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color w:val="4A5568"/>
          <w:sz w:val="21"/>
          <w:szCs w:val="21"/>
        </w:rPr>
        <w:t xml:space="preserve">360内部改造故事首发——周鸿祎抖音发布"用AI改造360的30天"，讲述CEO超级助理的真实经历</w:t>
      </w:r>
    </w:p>
    <w:p>
      <w:pPr>
        <w:pStyle w:val="Heading3"/>
        <w:spacing w:after="120" w:before="280"/>
      </w:pPr>
      <w:r>
        <w:rPr>
          <w:b/>
          <w:bCs/>
          <w:color w:val="1A1A2E"/>
          <w:sz w:val="26"/>
          <w:szCs w:val="26"/>
        </w:rPr>
        <w:t xml:space="preserve">4.2  第二阶段 · 31-90天 · 验证</w:t>
      </w:r>
    </w:p>
    <w:p>
      <w:pPr>
        <w:spacing w:after="200" w:line="360"/>
        <w:jc w:val="left"/>
      </w:pPr>
      <w:r>
        <w:rPr>
          <w:b w:val="false"/>
          <w:bCs w:val="false"/>
          <w:i w:val="false"/>
          <w:iCs w:val="false"/>
          <w:color w:val="4A5568"/>
          <w:sz w:val="22"/>
          <w:szCs w:val="22"/>
        </w:rPr>
        <w:t xml:space="preserve">关键结果：3场闭门沙龙+9个交付包标准化。退出条件：如果交付包无法标准化（每个客户都要从头定制），说明产品成熟度不够，暂停放大。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color w:val="4A5568"/>
          <w:sz w:val="21"/>
          <w:szCs w:val="21"/>
        </w:rPr>
        <w:t xml:space="preserve">交付包标准化——每行业沉淀「场景定义/配置模板/验收标准/常见问题/交付话术」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color w:val="4A5568"/>
          <w:sz w:val="21"/>
          <w:szCs w:val="21"/>
        </w:rPr>
        <w:t xml:space="preserve">3场老板级行业闭门沙龙——客户现身说法20分钟+真实数据现场演示15分钟+FDE分桌诊断30分钟+当场预约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color w:val="4A5568"/>
          <w:sz w:val="21"/>
          <w:szCs w:val="21"/>
        </w:rPr>
        <w:t xml:space="preserve">案例生产线——每个标杆产出短视频+图文+数据页三件套，统一标准化，禁止销售各自制作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color w:val="4A5568"/>
          <w:sz w:val="21"/>
          <w:szCs w:val="21"/>
        </w:rPr>
        <w:t xml:space="preserve">社媒矩阵启动——周鸿祎抖音"纳米Work实战周记"每周1条；小红书"用户故事"号每周2-3条；视频号深度演示</w:t>
      </w:r>
    </w:p>
    <w:p>
      <w:pPr>
        <w:pStyle w:val="Heading3"/>
        <w:spacing w:after="120" w:before="280"/>
      </w:pPr>
      <w:r>
        <w:rPr>
          <w:b/>
          <w:bCs/>
          <w:color w:val="1A1A2E"/>
          <w:sz w:val="26"/>
          <w:szCs w:val="26"/>
        </w:rPr>
        <w:t xml:space="preserve">4.3  第三阶段 · 91-180天 · 放大</w:t>
      </w:r>
    </w:p>
    <w:p>
      <w:pPr>
        <w:spacing w:after="200" w:line="360"/>
        <w:jc w:val="left"/>
      </w:pPr>
      <w:r>
        <w:rPr>
          <w:b w:val="false"/>
          <w:bCs w:val="false"/>
          <w:i w:val="false"/>
          <w:iCs w:val="false"/>
          <w:color w:val="4A5568"/>
          <w:sz w:val="22"/>
          <w:szCs w:val="22"/>
        </w:rPr>
        <w:t xml:space="preserve">关键结果：渠道合伙人签约5城+老客第二场景启动。退出条件：如果未认证FDE开始独立交付且出现质量事故，暂停该城市运营。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color w:val="4A5568"/>
          <w:sz w:val="21"/>
          <w:szCs w:val="21"/>
        </w:rPr>
        <w:t xml:space="preserve">渠道合伙人放大——授权与认证等级绑定，未认证不得独立交付，防止交付质量崩塌反噬品牌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color w:val="4A5568"/>
          <w:sz w:val="21"/>
          <w:szCs w:val="21"/>
        </w:rPr>
        <w:t xml:space="preserve">城市服务站滚动深化——不追求同日开业的公关声量，按FDE产能开城；每城须有1名认证FDE与1个本地标杆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color w:val="4A5568"/>
          <w:sz w:val="21"/>
          <w:szCs w:val="21"/>
        </w:rPr>
        <w:t xml:space="preserve">内容矩阵规模化——同步做AEO/GEO，让AI搜索引擎能检索到我方行业方法论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color w:val="4A5568"/>
          <w:sz w:val="21"/>
          <w:szCs w:val="21"/>
        </w:rPr>
        <w:t xml:space="preserve">老客扩展——对持续运营客户启动第二场景销售，这是六个月后收入曲线的起点</w:t>
      </w:r>
    </w:p>
    <w:p>
      <w:pPr>
        <w:spacing w:after="200"/>
      </w:pPr>
    </w:p>
    <w:p>
      <w:pPr>
        <w:pStyle w:val="Heading1"/>
        <w:spacing w:after="200" w:before="400"/>
      </w:pPr>
      <w:r>
        <w:rPr>
          <w:b/>
          <w:bCs/>
          <w:color w:val="0F2847"/>
          <w:sz w:val="36"/>
          <w:szCs w:val="36"/>
        </w:rPr>
        <w:t xml:space="preserve">05  内容与渠道</w:t>
      </w:r>
    </w:p>
    <w:p>
      <w:pPr>
        <w:pBdr>
          <w:bottom w:val="single" w:color="1B3A6B" w:sz="6" w:space="1"/>
        </w:pBdr>
        <w:spacing w:after="200" w:before="100"/>
      </w:pPr>
    </w:p>
    <w:p>
      <w:pPr>
        <w:pStyle w:val="Heading3"/>
        <w:spacing w:after="120" w:before="280"/>
      </w:pPr>
      <w:r>
        <w:rPr>
          <w:b/>
          <w:bCs/>
          <w:color w:val="1A1A2E"/>
          <w:sz w:val="26"/>
          <w:szCs w:val="26"/>
        </w:rPr>
        <w:t xml:space="preserve">5.1  内容策略</w:t>
      </w:r>
    </w:p>
    <w:p>
      <w:pPr>
        <w:spacing w:after="200" w:line="360"/>
        <w:jc w:val="left"/>
      </w:pPr>
      <w:r>
        <w:rPr>
          <w:b w:val="false"/>
          <w:bCs w:val="false"/>
          <w:i w:val="false"/>
          <w:iCs w:val="false"/>
          <w:color w:val="4A5568"/>
          <w:sz w:val="22"/>
          <w:szCs w:val="22"/>
        </w:rPr>
        <w:t xml:space="preserve">ToB不做大曝光，做信任飞轮。信任来自深度案例和行业口碑。内容不从产品功能出发，从客户痛点场景出发——先建痛点场景案例库，再让AI基于知识库生产内容。</w:t>
      </w:r>
    </w:p>
    <w:p>
      <w:pPr>
        <w:spacing w:after="200" w:line="360"/>
        <w:jc w:val="left"/>
      </w:pPr>
      <w:r>
        <w:rPr>
          <w:b w:val="false"/>
          <w:bCs w:val="false"/>
          <w:i w:val="false"/>
          <w:iCs w:val="false"/>
          <w:color w:val="4A5568"/>
          <w:sz w:val="22"/>
          <w:szCs w:val="22"/>
        </w:rPr>
        <w:t xml:space="preserve">每个标杆案例的标准化产出（三件套）：3分钟短视频（抖音/视频号）+ 深度图文（公众号/知乎）+ 数据页（销售/渠道使用）。统一用Before/After结构：用AI前花多少人多少时间，用后变成多少。</w:t>
      </w:r>
    </w:p>
    <w:p>
      <w:pPr>
        <w:pStyle w:val="Heading3"/>
        <w:spacing w:after="120" w:before="280"/>
      </w:pPr>
      <w:r>
        <w:rPr>
          <w:b/>
          <w:bCs/>
          <w:color w:val="1A1A2E"/>
          <w:sz w:val="26"/>
          <w:szCs w:val="26"/>
        </w:rPr>
        <w:t xml:space="preserve">5.2  渠道矩阵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2250"/>
        <w:gridCol w:w="2250"/>
        <w:gridCol w:w="2250"/>
      </w:tblGrid>
      <w:tr>
        <w:trPr>
          <w:tblHeader/>
        </w:trPr>
        <w:tc>
          <w:tcPr>
            <w:tcW w:type="dxa" w:w="2250"/>
            <w:shd w:fill="E8F0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B3A6B"/>
                <w:sz w:val="18"/>
                <w:szCs w:val="18"/>
              </w:rPr>
              <w:t xml:space="preserve">平台</w:t>
            </w:r>
          </w:p>
        </w:tc>
        <w:tc>
          <w:tcPr>
            <w:tcW w:type="dxa" w:w="2250"/>
            <w:shd w:fill="E8F0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B3A6B"/>
                <w:sz w:val="18"/>
                <w:szCs w:val="18"/>
              </w:rPr>
              <w:t xml:space="preserve">定位</w:t>
            </w:r>
          </w:p>
        </w:tc>
        <w:tc>
          <w:tcPr>
            <w:tcW w:type="dxa" w:w="2250"/>
            <w:shd w:fill="E8F0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B3A6B"/>
                <w:sz w:val="18"/>
                <w:szCs w:val="18"/>
              </w:rPr>
              <w:t xml:space="preserve">核心内容方向</w:t>
            </w:r>
          </w:p>
        </w:tc>
        <w:tc>
          <w:tcPr>
            <w:tcW w:type="dxa" w:w="2250"/>
            <w:shd w:fill="E8F0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B3A6B"/>
                <w:sz w:val="18"/>
                <w:szCs w:val="18"/>
              </w:rPr>
              <w:t xml:space="preserve">节奏</w:t>
            </w:r>
          </w:p>
        </w:tc>
      </w:tr>
      <w:tr>
        <w:tc>
          <w:tcPr>
            <w:tcW w:type="dxa" w:w="22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4A5568"/>
                <w:sz w:val="18"/>
                <w:szCs w:val="18"/>
              </w:rPr>
              <w:t xml:space="preserve">抖音</w:t>
            </w:r>
          </w:p>
        </w:tc>
        <w:tc>
          <w:tcPr>
            <w:tcW w:type="dxa" w:w="22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4A5568"/>
                <w:sz w:val="18"/>
                <w:szCs w:val="18"/>
              </w:rPr>
              <w:t xml:space="preserve">周鸿祎IP+场景化演示</w:t>
            </w:r>
          </w:p>
        </w:tc>
        <w:tc>
          <w:tcPr>
            <w:tcW w:type="dxa" w:w="22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4A5568"/>
                <w:sz w:val="18"/>
                <w:szCs w:val="18"/>
              </w:rPr>
              <w:t xml:space="preserve">"纳米Work实战周记"固定栏目+用户故事60秒</w:t>
            </w:r>
          </w:p>
        </w:tc>
        <w:tc>
          <w:tcPr>
            <w:tcW w:type="dxa" w:w="22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4A5568"/>
                <w:sz w:val="18"/>
                <w:szCs w:val="18"/>
              </w:rPr>
              <w:t xml:space="preserve">每周1条</w:t>
            </w:r>
          </w:p>
        </w:tc>
      </w:tr>
      <w:tr>
        <w:tc>
          <w:tcPr>
            <w:tcW w:type="dxa" w:w="22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4A5568"/>
                <w:sz w:val="18"/>
                <w:szCs w:val="18"/>
              </w:rPr>
              <w:t xml:space="preserve">小红书</w:t>
            </w:r>
          </w:p>
        </w:tc>
        <w:tc>
          <w:tcPr>
            <w:tcW w:type="dxa" w:w="22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4A5568"/>
                <w:sz w:val="18"/>
                <w:szCs w:val="18"/>
              </w:rPr>
              <w:t xml:space="preserve">普通人用AI搞钱的故事</w:t>
            </w:r>
          </w:p>
        </w:tc>
        <w:tc>
          <w:tcPr>
            <w:tcW w:type="dxa" w:w="22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4A5568"/>
                <w:sz w:val="18"/>
                <w:szCs w:val="18"/>
              </w:rPr>
              <w:t xml:space="preserve">"1人公司老板的一天""我用AI替代了3个外包"</w:t>
            </w:r>
          </w:p>
        </w:tc>
        <w:tc>
          <w:tcPr>
            <w:tcW w:type="dxa" w:w="22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4A5568"/>
                <w:sz w:val="18"/>
                <w:szCs w:val="18"/>
              </w:rPr>
              <w:t xml:space="preserve">每周2-3条</w:t>
            </w:r>
          </w:p>
        </w:tc>
      </w:tr>
      <w:tr>
        <w:tc>
          <w:tcPr>
            <w:tcW w:type="dxa" w:w="22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4A5568"/>
                <w:sz w:val="18"/>
                <w:szCs w:val="18"/>
              </w:rPr>
              <w:t xml:space="preserve">视频号</w:t>
            </w:r>
          </w:p>
        </w:tc>
        <w:tc>
          <w:tcPr>
            <w:tcW w:type="dxa" w:w="22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4A5568"/>
                <w:sz w:val="18"/>
                <w:szCs w:val="18"/>
              </w:rPr>
              <w:t xml:space="preserve">B端决策者渠道</w:t>
            </w:r>
          </w:p>
        </w:tc>
        <w:tc>
          <w:tcPr>
            <w:tcW w:type="dxa" w:w="22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4A5568"/>
                <w:sz w:val="18"/>
                <w:szCs w:val="18"/>
              </w:rPr>
              <w:t xml:space="preserve">360内部改造故事+沙龙精华+5-10分钟深度演示</w:t>
            </w:r>
          </w:p>
        </w:tc>
        <w:tc>
          <w:tcPr>
            <w:tcW w:type="dxa" w:w="22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4A5568"/>
                <w:sz w:val="18"/>
                <w:szCs w:val="18"/>
              </w:rPr>
              <w:t xml:space="preserve">每周1条</w:t>
            </w:r>
          </w:p>
        </w:tc>
      </w:tr>
      <w:tr>
        <w:tc>
          <w:tcPr>
            <w:tcW w:type="dxa" w:w="22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4A5568"/>
                <w:sz w:val="18"/>
                <w:szCs w:val="18"/>
              </w:rPr>
              <w:t xml:space="preserve">公众号</w:t>
            </w:r>
          </w:p>
        </w:tc>
        <w:tc>
          <w:tcPr>
            <w:tcW w:type="dxa" w:w="22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4A5568"/>
                <w:sz w:val="18"/>
                <w:szCs w:val="18"/>
              </w:rPr>
              <w:t xml:space="preserve">深度案例+行业解决方案</w:t>
            </w:r>
          </w:p>
        </w:tc>
        <w:tc>
          <w:tcPr>
            <w:tcW w:type="dxa" w:w="22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4A5568"/>
                <w:sz w:val="18"/>
                <w:szCs w:val="18"/>
              </w:rPr>
              <w:t xml:space="preserve">三层：信任层8篇+案例层10篇+选型层6篇</w:t>
            </w:r>
          </w:p>
        </w:tc>
        <w:tc>
          <w:tcPr>
            <w:tcW w:type="dxa" w:w="22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4A5568"/>
                <w:sz w:val="18"/>
                <w:szCs w:val="18"/>
              </w:rPr>
              <w:t xml:space="preserve">每周1篇</w:t>
            </w:r>
          </w:p>
        </w:tc>
      </w:tr>
      <w:tr>
        <w:tc>
          <w:tcPr>
            <w:tcW w:type="dxa" w:w="22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4A5568"/>
                <w:sz w:val="18"/>
                <w:szCs w:val="18"/>
              </w:rPr>
              <w:t xml:space="preserve">知乎</w:t>
            </w:r>
          </w:p>
        </w:tc>
        <w:tc>
          <w:tcPr>
            <w:tcW w:type="dxa" w:w="22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4A5568"/>
                <w:sz w:val="18"/>
                <w:szCs w:val="18"/>
              </w:rPr>
              <w:t xml:space="preserve">AEO搜索占位</w:t>
            </w:r>
          </w:p>
        </w:tc>
        <w:tc>
          <w:tcPr>
            <w:tcW w:type="dxa" w:w="22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4A5568"/>
                <w:sz w:val="18"/>
                <w:szCs w:val="18"/>
              </w:rPr>
              <w:t xml:space="preserve">找10-20个"企业AI"高赞问题，专业身份回答</w:t>
            </w:r>
          </w:p>
        </w:tc>
        <w:tc>
          <w:tcPr>
            <w:tcW w:type="dxa" w:w="22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4A5568"/>
                <w:sz w:val="18"/>
                <w:szCs w:val="18"/>
              </w:rPr>
              <w:t xml:space="preserve">每周2篇</w:t>
            </w:r>
          </w:p>
        </w:tc>
      </w:tr>
      <w:tr>
        <w:tc>
          <w:tcPr>
            <w:tcW w:type="dxa" w:w="22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4A5568"/>
                <w:sz w:val="18"/>
                <w:szCs w:val="18"/>
              </w:rPr>
              <w:t xml:space="preserve">行业垂直社区</w:t>
            </w:r>
          </w:p>
        </w:tc>
        <w:tc>
          <w:tcPr>
            <w:tcW w:type="dxa" w:w="22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4A5568"/>
                <w:sz w:val="18"/>
                <w:szCs w:val="18"/>
              </w:rPr>
              <w:t xml:space="preserve">精准触达</w:t>
            </w:r>
          </w:p>
        </w:tc>
        <w:tc>
          <w:tcPr>
            <w:tcW w:type="dxa" w:w="22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4A5568"/>
                <w:sz w:val="18"/>
                <w:szCs w:val="18"/>
              </w:rPr>
              <w:t xml:space="preserve">工程造价论坛/雨果网/餐饮老板内参发行业解决方案</w:t>
            </w:r>
          </w:p>
        </w:tc>
        <w:tc>
          <w:tcPr>
            <w:tcW w:type="dxa" w:w="22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4A5568"/>
                <w:sz w:val="18"/>
                <w:szCs w:val="18"/>
              </w:rPr>
              <w:t xml:space="preserve">每月2篇</w:t>
            </w:r>
          </w:p>
        </w:tc>
      </w:tr>
    </w:tbl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pct" w:w="100%"/>
            <w:tcBorders>
              <w:top w:val="single" w:color="F0E0A0" w:sz="2"/>
              <w:left w:val="single" w:color="E0B000" w:sz="12"/>
              <w:bottom w:val="single" w:color="F0E0A0" w:sz="2"/>
              <w:right w:val="single" w:color="F0E0A0" w:sz="2"/>
            </w:tcBorders>
            <w:shd w:fill="FFF9E6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60"/>
            </w:pPr>
            <w:r>
              <w:rPr>
                <w:b/>
                <w:bCs/>
                <w:color w:val="8A6D00"/>
                <w:sz w:val="18"/>
                <w:szCs w:val="18"/>
              </w:rPr>
              <w:t xml:space="preserve">用纳米Work营销纳米Work</w:t>
            </w:r>
          </w:p>
          <w:p>
            <w:pPr>
              <w:spacing w:line="340"/>
            </w:pPr>
            <w:r>
              <w:rPr>
                <w:color w:val="4A5568"/>
                <w:sz w:val="21"/>
                <w:szCs w:val="21"/>
              </w:rPr>
              <w:t xml:space="preserve">营销团队自己先用产品搭建营销智能体——自动生成社媒内容、分析用户反馈、生成案例报告。让营销过程本身成为产品能力的证明。</w:t>
            </w:r>
          </w:p>
        </w:tc>
      </w:tr>
    </w:tbl>
    <w:p>
      <w:pPr>
        <w:spacing w:after="200"/>
      </w:pPr>
    </w:p>
    <w:p>
      <w:pPr>
        <w:pStyle w:val="Heading1"/>
        <w:spacing w:after="200" w:before="400"/>
      </w:pPr>
      <w:r>
        <w:rPr>
          <w:b/>
          <w:bCs/>
          <w:color w:val="0F2847"/>
          <w:sz w:val="36"/>
          <w:szCs w:val="36"/>
        </w:rPr>
        <w:t xml:space="preserve">06  风险与竞争响应</w:t>
      </w:r>
    </w:p>
    <w:p>
      <w:pPr>
        <w:pBdr>
          <w:bottom w:val="single" w:color="1B3A6B" w:sz="6" w:space="1"/>
        </w:pBdr>
        <w:spacing w:after="200" w:before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shd w:fill="E8F0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B3A6B"/>
                <w:sz w:val="18"/>
                <w:szCs w:val="18"/>
              </w:rPr>
              <w:t xml:space="preserve">风险</w:t>
            </w:r>
          </w:p>
        </w:tc>
        <w:tc>
          <w:tcPr>
            <w:tcW w:type="dxa" w:w="4500"/>
            <w:shd w:fill="E8F0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B3A6B"/>
                <w:sz w:val="18"/>
                <w:szCs w:val="18"/>
              </w:rPr>
              <w:t xml:space="preserve">应对策略</w:t>
            </w:r>
          </w:p>
        </w:tc>
      </w:tr>
      <w:tr>
        <w:tc>
          <w:tcPr>
            <w:tcW w:type="dxa" w:w="4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4A5568"/>
                <w:sz w:val="18"/>
                <w:szCs w:val="18"/>
              </w:rPr>
              <w:t xml:space="preserve">FDE产能跟不上
营销跑在交付前面</w:t>
            </w:r>
          </w:p>
        </w:tc>
        <w:tc>
          <w:tcPr>
            <w:tcW w:type="dxa" w:w="4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4A5568"/>
                <w:sz w:val="18"/>
                <w:szCs w:val="18"/>
              </w:rPr>
              <w:t xml:space="preserve">整个方案按"先验证再放大"设计。第一阶段只签10家共创，不追求量。轻量级自服务路径做分流</w:t>
            </w:r>
          </w:p>
        </w:tc>
      </w:tr>
      <w:tr>
        <w:tc>
          <w:tcPr>
            <w:tcW w:type="dxa" w:w="4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4A5568"/>
                <w:sz w:val="18"/>
                <w:szCs w:val="18"/>
              </w:rPr>
              <w:t xml:space="preserve">交付效果不达预期
客户觉得"AI不靠谱"</w:t>
            </w:r>
          </w:p>
        </w:tc>
        <w:tc>
          <w:tcPr>
            <w:tcW w:type="dxa" w:w="4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4A5568"/>
                <w:sz w:val="18"/>
                <w:szCs w:val="18"/>
              </w:rPr>
              <w:t xml:space="preserve">只宣传A级场景真实案例，B级标注"AI初稿+人工审核"。不overpromise是底线</w:t>
            </w:r>
          </w:p>
        </w:tc>
      </w:tr>
      <w:tr>
        <w:tc>
          <w:tcPr>
            <w:tcW w:type="dxa" w:w="4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4A5568"/>
                <w:sz w:val="18"/>
                <w:szCs w:val="18"/>
              </w:rPr>
              <w:t xml:space="preserve">公测用户转化率低
10万用户多为薅羊毛</w:t>
            </w:r>
          </w:p>
        </w:tc>
        <w:tc>
          <w:tcPr>
            <w:tcW w:type="dxa" w:w="4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4A5568"/>
                <w:sz w:val="18"/>
                <w:szCs w:val="18"/>
              </w:rPr>
              <w:t xml:space="preserve">画像分层，从10万中筛出匹配企业版客群的几千家，集中FDE资源服务高价值种子</w:t>
            </w:r>
          </w:p>
        </w:tc>
      </w:tr>
      <w:tr>
        <w:tc>
          <w:tcPr>
            <w:tcW w:type="dxa" w:w="4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4A5568"/>
                <w:sz w:val="18"/>
                <w:szCs w:val="18"/>
              </w:rPr>
              <w:t xml:space="preserve">竞品跟进安全/交付能力</w:t>
            </w:r>
          </w:p>
        </w:tc>
        <w:tc>
          <w:tcPr>
            <w:tcW w:type="dxa" w:w="4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4A5568"/>
                <w:sz w:val="18"/>
                <w:szCs w:val="18"/>
              </w:rPr>
              <w:t xml:space="preserve">把FDE网络做成组织能力——代码能复制，人力组织能力不能。安全基因20年积累也是壁垒</w:t>
            </w:r>
          </w:p>
        </w:tc>
      </w:tr>
    </w:tbl>
    <w:p>
      <w:pPr>
        <w:spacing w:after="100"/>
      </w:pPr>
    </w:p>
    <w:p>
      <w:pPr>
        <w:pStyle w:val="Heading4"/>
        <w:spacing w:after="80" w:before="200"/>
      </w:pPr>
      <w:r>
        <w:rPr>
          <w:b/>
          <w:bCs/>
          <w:color w:val="1A1A2E"/>
          <w:sz w:val="22"/>
          <w:szCs w:val="22"/>
        </w:rPr>
        <w:t xml:space="preserve">护城河时效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2250"/>
        <w:gridCol w:w="2250"/>
        <w:gridCol w:w="2250"/>
      </w:tblGrid>
      <w:tr>
        <w:trPr>
          <w:tblHeader/>
        </w:trPr>
        <w:tc>
          <w:tcPr>
            <w:tcW w:type="dxa" w:w="2250"/>
            <w:shd w:fill="E8F0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B3A6B"/>
                <w:sz w:val="18"/>
                <w:szCs w:val="18"/>
              </w:rPr>
              <w:t xml:space="preserve">卖点</w:t>
            </w:r>
          </w:p>
        </w:tc>
        <w:tc>
          <w:tcPr>
            <w:tcW w:type="dxa" w:w="2250"/>
            <w:shd w:fill="E8F0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B3A6B"/>
                <w:sz w:val="18"/>
                <w:szCs w:val="18"/>
              </w:rPr>
              <w:t xml:space="preserve">护城河深度</w:t>
            </w:r>
          </w:p>
        </w:tc>
        <w:tc>
          <w:tcPr>
            <w:tcW w:type="dxa" w:w="2250"/>
            <w:shd w:fill="E8F0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B3A6B"/>
                <w:sz w:val="18"/>
                <w:szCs w:val="18"/>
              </w:rPr>
              <w:t xml:space="preserve">竞品追赶周期</w:t>
            </w:r>
          </w:p>
        </w:tc>
        <w:tc>
          <w:tcPr>
            <w:tcW w:type="dxa" w:w="2250"/>
            <w:shd w:fill="E8F0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B3A6B"/>
                <w:sz w:val="18"/>
                <w:szCs w:val="18"/>
              </w:rPr>
              <w:t xml:space="preserve">原因</w:t>
            </w:r>
          </w:p>
        </w:tc>
      </w:tr>
      <w:tr>
        <w:tc>
          <w:tcPr>
            <w:tcW w:type="dxa" w:w="22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4A5568"/>
                <w:sz w:val="18"/>
                <w:szCs w:val="18"/>
              </w:rPr>
              <w:t xml:space="preserve">安全基因</w:t>
            </w:r>
          </w:p>
        </w:tc>
        <w:tc>
          <w:tcPr>
            <w:tcW w:type="dxa" w:w="22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4A5568"/>
                <w:sz w:val="18"/>
                <w:szCs w:val="18"/>
              </w:rPr>
              <w:t xml:space="preserve">深</w:t>
            </w:r>
          </w:p>
        </w:tc>
        <w:tc>
          <w:tcPr>
            <w:tcW w:type="dxa" w:w="22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4A5568"/>
                <w:sz w:val="18"/>
                <w:szCs w:val="18"/>
              </w:rPr>
              <w:t xml:space="preserve">2-3年</w:t>
            </w:r>
          </w:p>
        </w:tc>
        <w:tc>
          <w:tcPr>
            <w:tcW w:type="dxa" w:w="22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4A5568"/>
                <w:sz w:val="18"/>
                <w:szCs w:val="18"/>
              </w:rPr>
              <w:t xml:space="preserve">20年攻防积累，非代码可复制</w:t>
            </w:r>
          </w:p>
        </w:tc>
      </w:tr>
      <w:tr>
        <w:tc>
          <w:tcPr>
            <w:tcW w:type="dxa" w:w="22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4A5568"/>
                <w:sz w:val="18"/>
                <w:szCs w:val="18"/>
              </w:rPr>
              <w:t xml:space="preserve">端到端交付</w:t>
            </w:r>
          </w:p>
        </w:tc>
        <w:tc>
          <w:tcPr>
            <w:tcW w:type="dxa" w:w="22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4A5568"/>
                <w:sz w:val="18"/>
                <w:szCs w:val="18"/>
              </w:rPr>
              <w:t xml:space="preserve">中</w:t>
            </w:r>
          </w:p>
        </w:tc>
        <w:tc>
          <w:tcPr>
            <w:tcW w:type="dxa" w:w="22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4A5568"/>
                <w:sz w:val="18"/>
                <w:szCs w:val="18"/>
              </w:rPr>
              <w:t xml:space="preserve">1-2年</w:t>
            </w:r>
          </w:p>
        </w:tc>
        <w:tc>
          <w:tcPr>
            <w:tcW w:type="dxa" w:w="22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4A5568"/>
                <w:sz w:val="18"/>
                <w:szCs w:val="18"/>
              </w:rPr>
              <w:t xml:space="preserve">任务引擎可被模仿，场景积累需要时间</w:t>
            </w:r>
          </w:p>
        </w:tc>
      </w:tr>
      <w:tr>
        <w:tc>
          <w:tcPr>
            <w:tcW w:type="dxa" w:w="22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4A5568"/>
                <w:sz w:val="18"/>
                <w:szCs w:val="18"/>
              </w:rPr>
              <w:t xml:space="preserve">FDE服务网络</w:t>
            </w:r>
          </w:p>
        </w:tc>
        <w:tc>
          <w:tcPr>
            <w:tcW w:type="dxa" w:w="22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4A5568"/>
                <w:sz w:val="18"/>
                <w:szCs w:val="18"/>
              </w:rPr>
              <w:t xml:space="preserve">最深</w:t>
            </w:r>
          </w:p>
        </w:tc>
        <w:tc>
          <w:tcPr>
            <w:tcW w:type="dxa" w:w="22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4A5568"/>
                <w:sz w:val="18"/>
                <w:szCs w:val="18"/>
              </w:rPr>
              <w:t xml:space="preserve">3-5年</w:t>
            </w:r>
          </w:p>
        </w:tc>
        <w:tc>
          <w:tcPr>
            <w:tcW w:type="dxa" w:w="22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4A5568"/>
                <w:sz w:val="18"/>
                <w:szCs w:val="18"/>
              </w:rPr>
              <w:t xml:space="preserve">人力组织能力，非技术可替代</w:t>
            </w:r>
          </w:p>
        </w:tc>
      </w:tr>
    </w:tbl>
    <w:p>
      <w:pPr>
        <w:spacing w:after="200"/>
      </w:pPr>
    </w:p>
    <w:p>
      <w:pPr>
        <w:pStyle w:val="Heading1"/>
        <w:spacing w:after="200" w:before="400"/>
      </w:pPr>
      <w:r>
        <w:rPr>
          <w:b/>
          <w:bCs/>
          <w:color w:val="0F2847"/>
          <w:sz w:val="36"/>
          <w:szCs w:val="36"/>
        </w:rPr>
        <w:t xml:space="preserve">07  组织与资源</w:t>
      </w:r>
    </w:p>
    <w:p>
      <w:pPr>
        <w:pBdr>
          <w:bottom w:val="single" w:color="1B3A6B" w:sz="6" w:space="1"/>
        </w:pBdr>
        <w:spacing w:after="200" w:before="100"/>
      </w:pPr>
    </w:p>
    <w:p>
      <w:pPr>
        <w:pStyle w:val="Heading3"/>
        <w:spacing w:after="120" w:before="280"/>
      </w:pPr>
      <w:r>
        <w:rPr>
          <w:b/>
          <w:bCs/>
          <w:color w:val="1A1A2E"/>
          <w:sz w:val="26"/>
          <w:szCs w:val="26"/>
        </w:rPr>
        <w:t xml:space="preserve">7.1  市场部角色的变化</w:t>
      </w:r>
    </w:p>
    <w:p>
      <w:pPr>
        <w:spacing w:after="200" w:line="360"/>
        <w:jc w:val="left"/>
      </w:pPr>
      <w:r>
        <w:rPr>
          <w:b w:val="false"/>
          <w:bCs w:val="false"/>
          <w:i w:val="false"/>
          <w:iCs w:val="false"/>
          <w:color w:val="4A5568"/>
          <w:sz w:val="22"/>
          <w:szCs w:val="22"/>
        </w:rPr>
        <w:t xml:space="preserve">卖工具模式下，市场部的产出是线索；卖落地服务模式下，产出是可复制的交付资产与客户共识。这意味着市场部的考核从MQL数量转向交付包与案例的产出，且必须与FDE团队共背北极星指标。</w:t>
      </w:r>
    </w:p>
    <w:p>
      <w:pPr>
        <w:pStyle w:val="Heading3"/>
        <w:spacing w:after="120" w:before="280"/>
      </w:pPr>
      <w:r>
        <w:rPr>
          <w:b/>
          <w:bCs/>
          <w:color w:val="1A1A2E"/>
          <w:sz w:val="26"/>
          <w:szCs w:val="26"/>
        </w:rPr>
        <w:t xml:space="preserve">7.2  跨部门协同——四步法</w:t>
      </w:r>
    </w:p>
    <w:p>
      <w:pPr>
        <w:spacing w:after="200" w:line="360"/>
        <w:jc w:val="left"/>
      </w:pPr>
      <w:r>
        <w:rPr>
          <w:b w:val="false"/>
          <w:bCs w:val="false"/>
          <w:i w:val="false"/>
          <w:iCs w:val="false"/>
          <w:color w:val="4A5568"/>
          <w:sz w:val="22"/>
          <w:szCs w:val="22"/>
        </w:rPr>
        <w:t xml:space="preserve">360有4亿安全卫士月活、4亿浏览器月活、1200万纳米AI搜索月活、2万家政企客户。但跨部门协同不是"建议导流"就能实现的——没有利益分配就没有协同。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pct" w:w="100%"/>
            <w:shd w:fill="E8F0FE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100"/>
            </w:pPr>
            <w:r>
              <w:rPr>
                <w:b/>
                <w:bCs/>
                <w:color w:val="D4A020"/>
                <w:sz w:val="18"/>
                <w:szCs w:val="18"/>
              </w:rPr>
              <w:t xml:space="preserve">利益绑、看板通、周会盯、绩效挂</w:t>
            </w:r>
          </w:p>
          <w:p>
            <w:pPr>
              <w:spacing w:after="100" w:line="340"/>
            </w:pPr>
            <w:r>
              <w:rPr>
                <w:color w:val="4A5568"/>
                <w:sz w:val="21"/>
                <w:szCs w:val="21"/>
              </w:rPr>
              <w:t xml:space="preserve">利益绑——导流部门按Token消耗收入30%分成；安全销售交叉销售按15%计入安全团队业绩</w:t>
            </w:r>
          </w:p>
          <w:p>
            <w:pPr>
              <w:spacing w:after="100" w:line="340"/>
            </w:pPr>
            <w:r>
              <w:rPr>
                <w:color w:val="4A5568"/>
                <w:sz w:val="21"/>
                <w:szCs w:val="21"/>
              </w:rPr>
              <w:t xml:space="preserve">看板通——共享飞书/钉钉看板，所有部门看到纳米Work实时数据</w:t>
            </w:r>
          </w:p>
          <w:p>
            <w:pPr>
              <w:spacing w:after="100" w:line="340"/>
            </w:pPr>
            <w:r>
              <w:rPr>
                <w:color w:val="4A5568"/>
                <w:sz w:val="21"/>
                <w:szCs w:val="21"/>
              </w:rPr>
              <w:t xml:space="preserve">周会盯——每周30分钟站会过5个数字。虚拟团队5人：产品+安全+搜索+品牌+渠道</w:t>
            </w:r>
          </w:p>
          <w:p>
            <w:pPr>
              <w:spacing w:after="100" w:line="340"/>
            </w:pPr>
            <w:r>
              <w:rPr>
                <w:color w:val="4A5568"/>
                <w:sz w:val="21"/>
                <w:szCs w:val="21"/>
              </w:rPr>
              <w:t xml:space="preserve">绩效挂——作战室成员季度绩效中20%与纳米Work整体指标挂钩。不改组织架构，只加考核维度</w:t>
            </w:r>
          </w:p>
        </w:tc>
      </w:tr>
    </w:tbl>
    <w:p>
      <w:pPr>
        <w:spacing w:after="100"/>
      </w:pPr>
    </w:p>
    <w:p>
      <w:pPr>
        <w:spacing w:after="200" w:line="360"/>
        <w:jc w:val="left"/>
      </w:pPr>
      <w:r>
        <w:rPr>
          <w:b w:val="false"/>
          <w:bCs w:val="false"/>
          <w:i w:val="false"/>
          <w:iCs w:val="false"/>
          <w:color w:val="4A5568"/>
          <w:sz w:val="22"/>
          <w:szCs w:val="22"/>
        </w:rPr>
        <w:t xml:space="preserve">参考：华为IPD的PDT跨部门团队，成员考核与产品商业结果强绑定；字节飞书×豆包团队整合，产品和销售端统一指挥。</w:t>
      </w:r>
    </w:p>
    <w:p>
      <w:pPr>
        <w:pStyle w:val="Heading3"/>
        <w:spacing w:after="120" w:before="280"/>
      </w:pPr>
      <w:r>
        <w:rPr>
          <w:b/>
          <w:bCs/>
          <w:color w:val="1A1A2E"/>
          <w:sz w:val="26"/>
          <w:szCs w:val="26"/>
        </w:rPr>
        <w:t xml:space="preserve">7.3  人力配置建议</w:t>
      </w:r>
    </w:p>
    <w:p>
      <w:pPr>
        <w:spacing w:after="200" w:line="360"/>
        <w:jc w:val="left"/>
      </w:pPr>
      <w:r>
        <w:rPr>
          <w:b w:val="false"/>
          <w:bCs w:val="false"/>
          <w:i w:val="false"/>
          <w:iCs w:val="false"/>
          <w:color w:val="4A5568"/>
          <w:sz w:val="22"/>
          <w:szCs w:val="22"/>
        </w:rPr>
        <w:t xml:space="preserve">小红书运营不是交给新媒体运营做，而是由懂ToB营销+懂AI实操+懂小红书内容的复合型人才主导。ToB产品的社媒内容不是追热点，是建信任——需要既理解企业客户痛点、又懂AI产品能力、还懂内容运营的人来做。</w:t>
      </w:r>
    </w:p>
    <w:p>
      <w:pPr>
        <w:spacing w:after="200"/>
      </w:pPr>
    </w:p>
    <w:p>
      <w:pPr>
        <w:pStyle w:val="Heading1"/>
        <w:spacing w:after="200" w:before="400"/>
      </w:pPr>
      <w:r>
        <w:rPr>
          <w:b/>
          <w:bCs/>
          <w:color w:val="0F2847"/>
          <w:sz w:val="36"/>
          <w:szCs w:val="36"/>
        </w:rPr>
        <w:t xml:space="preserve">结语</w:t>
      </w:r>
    </w:p>
    <w:p>
      <w:pPr>
        <w:pBdr>
          <w:bottom w:val="single" w:color="1B3A6B" w:sz="6" w:space="1"/>
        </w:pBdr>
        <w:spacing w:after="200" w:before="100"/>
      </w:pPr>
    </w:p>
    <w:p>
      <w:pPr>
        <w:spacing w:after="200" w:line="360"/>
        <w:jc w:val="left"/>
      </w:pPr>
      <w:r>
        <w:rPr>
          <w:b w:val="false"/>
          <w:bCs w:val="false"/>
          <w:i w:val="false"/>
          <w:iCs w:val="false"/>
          <w:color w:val="4A5568"/>
          <w:sz w:val="22"/>
          <w:szCs w:val="22"/>
        </w:rPr>
        <w:t xml:space="preserve">卖工具模式下，市场部的产出是线索；卖落地服务模式下，产出是可复制的交付资产与客户共识。</w:t>
      </w:r>
    </w:p>
    <w:p>
      <w:pPr>
        <w:spacing w:after="200" w:line="360"/>
        <w:jc w:val="left"/>
      </w:pPr>
      <w:r>
        <w:rPr>
          <w:b w:val="false"/>
          <w:bCs w:val="false"/>
          <w:i w:val="false"/>
          <w:iCs w:val="false"/>
          <w:color w:val="4A5568"/>
          <w:sz w:val="22"/>
          <w:szCs w:val="22"/>
        </w:rPr>
        <w:t xml:space="preserve">纳米Work的营销不是把AI能力包装成功能列表卖出去，而是把360的安全基因、交付能力、FDE服务网络打包成"用得起的AI落地服务"——让企业老板从"不敢用AI"到"有人在帮我落地AI"。</w:t>
      </w:r>
    </w:p>
    <w:p>
      <w:pPr>
        <w:spacing w:after="600"/>
      </w:pPr>
    </w:p>
    <w:p>
      <w:pPr>
        <w:spacing w:before="600"/>
        <w:jc w:val="center"/>
      </w:pPr>
      <w:r>
        <w:drawing>
          <wp:inline distT="0" distB="0" distL="0" distR="0">
            <wp:extent cx="285750" cy="285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b/>
          <w:bCs/>
          <w:color w:val="1B3A6B"/>
          <w:sz w:val="24"/>
          <w:szCs w:val="24"/>
        </w:rPr>
        <w:t xml:space="preserve">纳米Work 企业版</w:t>
      </w:r>
    </w:p>
    <w:p>
      <w:pPr>
        <w:spacing w:after="100"/>
        <w:jc w:val="center"/>
      </w:pPr>
      <w:r>
        <w:rPr>
          <w:color w:val="8A94A6"/>
          <w:sz w:val="20"/>
          <w:szCs w:val="20"/>
        </w:rPr>
        <w:t xml:space="preserve">为企业AI化而生 · 从超级个体到超级组织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A94A6"/>
        <w:sz w:val="16"/>
        <w:szCs w:val="16"/>
      </w:rPr>
      <w:t xml:space="preserve">— </w:t>
    </w:r>
    <w:r>
      <w:rPr>
        <w:color w:val="8A94A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A94A6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drawing>
        <wp:inline distT="0" distB="0" distL="0" distR="0">
          <wp:extent cx="190500" cy="1905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0500" cy="1905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color w:val="8A94A6"/>
        <w:sz w:val="16"/>
        <w:szCs w:val="16"/>
      </w:rPr>
      <w:t xml:space="preserve">  纳米Work 企业版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>
      <w:pPr>
        <w:spacing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5ef24502d391671388473457d8856ff2bbf7cea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a5ef24502d391671388473457d8856ff2bbf7cea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2026-08-12T06:49:42.611Z</dcterms:created>
  <dcterms:modified xsi:type="dcterms:W3CDTF">2026-08-12T06:49:42.612Z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