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line="264"/>
      </w:pPr>
      <w:r>
        <w:rPr>
          <w:rFonts w:ascii="Arial" w:cs="Arial" w:eastAsia="Arial" w:hAnsi="Arial"/>
          <w:b/>
          <w:bCs/>
          <w:i w:val="false"/>
          <w:iCs w:val="false"/>
          <w:color w:val="1C0F2F"/>
          <w:sz w:val="44"/>
          <w:szCs w:val="44"/>
        </w:rPr>
        <w:t xml:space="preserve">ROOT by Aikyam website: open questions</w:t>
      </w:r>
    </w:p>
    <w:p>
      <w:pPr>
        <w:pBdr>
          <w:bottom w:val="single" w:color="C19C2F" w:sz="12" w:space="8"/>
        </w:pBdr>
        <w:spacing w:after="160" w:before="0" w:line="264"/>
      </w:pPr>
      <w:r>
        <w:rPr>
          <w:rFonts w:ascii="Arial" w:cs="Arial" w:eastAsia="Arial" w:hAnsi="Arial"/>
          <w:b w:val="false"/>
          <w:bCs w:val="false"/>
          <w:i w:val="false"/>
          <w:iCs w:val="false"/>
          <w:color w:val="5A5266"/>
          <w:sz w:val="24"/>
          <w:szCs w:val="24"/>
        </w:rPr>
        <w:t xml:space="preserve">Prepared by Giraffe Partners for Aikyam · 12 October 2026</w:t>
      </w:r>
    </w:p>
    <w:p>
      <w:pPr>
        <w:spacing w:after="100" w:before="240" w:line="300"/>
      </w:pPr>
      <w:r>
        <w:rPr>
          <w:rFonts w:ascii="Arial" w:cs="Arial" w:eastAsia="Arial" w:hAnsi="Arial"/>
          <w:b w:val="false"/>
          <w:bCs w:val="false"/>
          <w:i w:val="false"/>
          <w:iCs w:val="false"/>
          <w:color w:val="1C0F2F"/>
          <w:sz w:val="21"/>
          <w:szCs w:val="21"/>
        </w:rPr>
        <w:t xml:space="preserve">This document lists the questions we need Aikyam to answer for the new ROOT by Aikyam website.</w:t>
      </w:r>
    </w:p>
    <w:p>
      <w:pPr>
        <w:spacing w:after="100" w:before="0" w:line="300"/>
      </w:pPr>
      <w:r>
        <w:rPr>
          <w:rFonts w:ascii="Arial" w:cs="Arial" w:eastAsia="Arial" w:hAnsi="Arial"/>
          <w:b w:val="false"/>
          <w:bCs w:val="false"/>
          <w:i w:val="false"/>
          <w:iCs w:val="false"/>
          <w:color w:val="1C0F2F"/>
          <w:sz w:val="21"/>
          <w:szCs w:val="21"/>
        </w:rPr>
        <w:t xml:space="preserve">The design continues with the defaults shown for each question, so nothing waits on an answer.</w:t>
      </w:r>
    </w:p>
    <w:p>
      <w:pPr>
        <w:spacing w:after="100" w:before="0" w:line="300"/>
      </w:pPr>
      <w:r>
        <w:rPr>
          <w:rFonts w:ascii="Arial" w:cs="Arial" w:eastAsia="Arial" w:hAnsi="Arial"/>
          <w:b w:val="false"/>
          <w:bCs w:val="false"/>
          <w:i w:val="false"/>
          <w:iCs w:val="false"/>
          <w:color w:val="1C0F2F"/>
          <w:sz w:val="21"/>
          <w:szCs w:val="21"/>
        </w:rPr>
        <w:t xml:space="preserve">Each answer is applied across every page at once, so one reply settles the point everywhere.</w:t>
      </w:r>
    </w:p>
    <w:p>
      <w:pPr>
        <w:spacing w:after="100" w:before="0" w:line="300"/>
      </w:pPr>
      <w:r>
        <w:rPr>
          <w:rFonts w:ascii="Arial" w:cs="Arial" w:eastAsia="Arial" w:hAnsi="Arial"/>
          <w:b w:val="false"/>
          <w:bCs w:val="false"/>
          <w:i w:val="false"/>
          <w:iCs w:val="false"/>
          <w:color w:val="1C0F2F"/>
          <w:sz w:val="21"/>
          <w:szCs w:val="21"/>
        </w:rPr>
        <w:t xml:space="preserve">Please answer inline, in the Answer column. Where a question has parts (a), (b), (c), please answer each part.</w:t>
      </w:r>
    </w:p>
    <w:p>
      <w:pPr>
        <w:spacing w:after="100" w:before="0" w:line="300"/>
      </w:pPr>
      <w:r>
        <w:rPr>
          <w:rFonts w:ascii="Arial" w:cs="Arial" w:eastAsia="Arial" w:hAnsi="Arial"/>
          <w:b w:val="false"/>
          <w:bCs w:val="false"/>
          <w:i w:val="false"/>
          <w:iCs w:val="false"/>
          <w:color w:val="1C0F2F"/>
          <w:sz w:val="21"/>
          <w:szCs w:val="21"/>
        </w:rPr>
        <w:t xml:space="preserve">Items marked "Before 2 Nov launch" come first. The ten that block the launch are listed under Top priority.</w:t>
      </w:r>
    </w:p>
    <w:p>
      <w:pPr>
        <w:spacing w:after="80" w:before="280" w:line="264"/>
      </w:pPr>
      <w:r>
        <w:rPr>
          <w:rFonts w:ascii="Arial" w:cs="Arial" w:eastAsia="Arial" w:hAnsi="Arial"/>
          <w:b/>
          <w:bCs/>
          <w:i w:val="false"/>
          <w:iCs w:val="false"/>
          <w:color w:val="1C0F2F"/>
          <w:sz w:val="22"/>
          <w:szCs w:val="22"/>
        </w:rPr>
        <w:t xml:space="preserve">How to read each question</w:t>
      </w:r>
    </w:p>
    <w:p>
      <w:pPr>
        <w:spacing w:after="50" w:before="0" w:line="264"/>
      </w:pPr>
      <w:r>
        <w:rPr>
          <w:rFonts w:ascii="Arial" w:cs="Arial" w:eastAsia="Arial" w:hAnsi="Arial"/>
          <w:b/>
          <w:bCs/>
          <w:i w:val="false"/>
          <w:iCs w:val="false"/>
          <w:color w:val="1C0F2F"/>
          <w:sz w:val="19"/>
          <w:szCs w:val="19"/>
        </w:rPr>
        <w:t xml:space="preserve">Meanwhile, the pages show: </w:t>
      </w:r>
      <w:r>
        <w:rPr>
          <w:rFonts w:ascii="Arial" w:cs="Arial" w:eastAsia="Arial" w:hAnsi="Arial"/>
          <w:b w:val="false"/>
          <w:bCs w:val="false"/>
          <w:i w:val="false"/>
          <w:iCs w:val="false"/>
          <w:color w:val="1C0F2F"/>
          <w:sz w:val="19"/>
          <w:szCs w:val="19"/>
        </w:rPr>
        <w:t xml:space="preserve">the default the draft pages use until you answer.</w:t>
      </w:r>
    </w:p>
    <w:p>
      <w:pPr>
        <w:spacing w:after="50" w:before="0" w:line="264"/>
      </w:pPr>
      <w:r>
        <w:rPr>
          <w:rFonts w:ascii="Arial" w:cs="Arial" w:eastAsia="Arial" w:hAnsi="Arial"/>
          <w:b/>
          <w:bCs/>
          <w:i w:val="false"/>
          <w:iCs w:val="false"/>
          <w:color w:val="1C0F2F"/>
          <w:sz w:val="19"/>
          <w:szCs w:val="19"/>
        </w:rPr>
        <w:t xml:space="preserve">Ref: </w:t>
      </w:r>
      <w:r>
        <w:rPr>
          <w:rFonts w:ascii="Arial" w:cs="Arial" w:eastAsia="Arial" w:hAnsi="Arial"/>
          <w:b w:val="false"/>
          <w:bCs w:val="false"/>
          <w:i w:val="false"/>
          <w:iCs w:val="false"/>
          <w:color w:val="1C0F2F"/>
          <w:sz w:val="19"/>
          <w:szCs w:val="19"/>
        </w:rPr>
        <w:t xml:space="preserve">the number in the Placeholder Register we shared earlier, where the point was raised before.</w:t>
      </w:r>
    </w:p>
    <w:p>
      <w:pPr>
        <w:spacing w:after="240" w:before="0" w:line="264"/>
      </w:pPr>
      <w:r>
        <w:rPr>
          <w:rFonts w:ascii="Arial" w:cs="Arial" w:eastAsia="Arial" w:hAnsi="Arial"/>
          <w:b/>
          <w:bCs/>
          <w:i w:val="false"/>
          <w:iCs w:val="false"/>
          <w:color w:val="1C0F2F"/>
          <w:sz w:val="19"/>
          <w:szCs w:val="19"/>
        </w:rPr>
        <w:t xml:space="preserve">Priority: </w:t>
      </w:r>
      <w:r>
        <w:rPr>
          <w:rFonts w:ascii="Arial" w:cs="Arial" w:eastAsia="Arial" w:hAnsi="Arial"/>
          <w:b w:val="false"/>
          <w:bCs w:val="false"/>
          <w:i w:val="false"/>
          <w:iCs w:val="false"/>
          <w:color w:val="1C0F2F"/>
          <w:sz w:val="19"/>
          <w:szCs w:val="19"/>
        </w:rPr>
        <w:t xml:space="preserve">"Before 2 Nov launch" for Phase 1 pages, "Before 8 Dec" for Phase 2, "Before 13 Jan" for Phase 3.</w:t>
      </w:r>
    </w:p>
    <w:p>
      <w:pPr>
        <w:keepNext/>
        <w:spacing w:after="120" w:before="0" w:line="264"/>
      </w:pPr>
      <w:r>
        <w:rPr>
          <w:rFonts w:ascii="Arial" w:cs="Arial" w:eastAsia="Arial" w:hAnsi="Arial"/>
          <w:b/>
          <w:bCs/>
          <w:i w:val="false"/>
          <w:iCs w:val="false"/>
          <w:color w:val="1C0F2F"/>
          <w:sz w:val="26"/>
          <w:szCs w:val="26"/>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8"/>
        <w:gridCol w:w="1600"/>
        <w:gridCol w:w="1400"/>
        <w:gridCol w:w="1400"/>
        <w:gridCol w:w="1400"/>
      </w:tblGrid>
      <w:tr>
        <w:trPr>
          <w:tblHeader/>
        </w:trPr>
        <w:tc>
          <w:tcPr>
            <w:tcW w:type="dxa" w:w="3838"/>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Who at Aikyam answers</w:t>
            </w:r>
          </w:p>
        </w:tc>
        <w:tc>
          <w:tcPr>
            <w:tcW w:type="dxa" w:w="16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Before 2 Nov launch</w:t>
            </w:r>
          </w:p>
        </w:tc>
        <w:tc>
          <w:tcPr>
            <w:tcW w:type="dxa" w:w="1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Before 8 Dec</w:t>
            </w:r>
          </w:p>
        </w:tc>
        <w:tc>
          <w:tcPr>
            <w:tcW w:type="dxa" w:w="1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Before 13 Jan</w:t>
            </w:r>
          </w:p>
        </w:tc>
        <w:tc>
          <w:tcPr>
            <w:tcW w:type="dxa" w:w="1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Total</w:t>
            </w:r>
          </w:p>
        </w:tc>
      </w:tr>
      <w:tr>
        <w:tc>
          <w:tcPr>
            <w:tcW w:type="dxa" w:w="38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Compliance officer (C)</w:t>
            </w:r>
          </w:p>
        </w:tc>
        <w:tc>
          <w:tcPr>
            <w:tcW w:type="dxa" w:w="16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12</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1</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13</w:t>
            </w:r>
          </w:p>
        </w:tc>
      </w:tr>
      <w:tr>
        <w:tc>
          <w:tcPr>
            <w:tcW w:type="dxa" w:w="38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Broking business head (B)</w:t>
            </w:r>
          </w:p>
        </w:tc>
        <w:tc>
          <w:tcPr>
            <w:tcW w:type="dxa" w:w="16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5</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5</w:t>
            </w:r>
          </w:p>
        </w:tc>
      </w:tr>
      <w:tr>
        <w:tc>
          <w:tcPr>
            <w:tcW w:type="dxa" w:w="38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Wealth business head (W)</w:t>
            </w:r>
          </w:p>
        </w:tc>
        <w:tc>
          <w:tcPr>
            <w:tcW w:type="dxa" w:w="16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4</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1</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5</w:t>
            </w:r>
          </w:p>
        </w:tc>
      </w:tr>
      <w:tr>
        <w:tc>
          <w:tcPr>
            <w:tcW w:type="dxa" w:w="38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Technology and KYC partner (T)</w:t>
            </w:r>
          </w:p>
        </w:tc>
        <w:tc>
          <w:tcPr>
            <w:tcW w:type="dxa" w:w="16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5</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1</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6</w:t>
            </w:r>
          </w:p>
        </w:tc>
      </w:tr>
      <w:tr>
        <w:tc>
          <w:tcPr>
            <w:tcW w:type="dxa" w:w="38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Product and client relations (P)</w:t>
            </w:r>
          </w:p>
        </w:tc>
        <w:tc>
          <w:tcPr>
            <w:tcW w:type="dxa" w:w="16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6</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val="false"/>
                <w:bCs w:val="false"/>
                <w:i w:val="false"/>
                <w:iCs w:val="false"/>
                <w:color w:val="1C0F2F"/>
                <w:sz w:val="19"/>
                <w:szCs w:val="19"/>
              </w:rPr>
              <w:t xml:space="preserve">0</w:t>
            </w:r>
          </w:p>
        </w:tc>
        <w:tc>
          <w:tcPr>
            <w:tcW w:type="dxa" w:w="1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6</w:t>
            </w:r>
          </w:p>
        </w:tc>
      </w:tr>
      <w:tr>
        <w:tc>
          <w:tcPr>
            <w:tcW w:type="dxa" w:w="3838"/>
            <w:tcBorders>
              <w:top w:val="single" w:color="C9C2D3" w:sz="4"/>
              <w:left w:val="single" w:color="C9C2D3" w:sz="4"/>
              <w:bottom w:val="single" w:color="C9C2D3" w:sz="4"/>
              <w:right w:val="single" w:color="C9C2D3" w:sz="4"/>
            </w:tcBorders>
            <w:shd w:fill="F1EEF5" w:color="auto" w:val="clear"/>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All questions</w:t>
            </w:r>
          </w:p>
        </w:tc>
        <w:tc>
          <w:tcPr>
            <w:tcW w:type="dxa" w:w="1600"/>
            <w:tcBorders>
              <w:top w:val="single" w:color="C9C2D3" w:sz="4"/>
              <w:left w:val="single" w:color="C9C2D3" w:sz="4"/>
              <w:bottom w:val="single" w:color="C9C2D3" w:sz="4"/>
              <w:right w:val="single" w:color="C9C2D3" w:sz="4"/>
            </w:tcBorders>
            <w:shd w:fill="F1EEF5" w:color="auto" w:val="clear"/>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32</w:t>
            </w:r>
          </w:p>
        </w:tc>
        <w:tc>
          <w:tcPr>
            <w:tcW w:type="dxa" w:w="1400"/>
            <w:tcBorders>
              <w:top w:val="single" w:color="C9C2D3" w:sz="4"/>
              <w:left w:val="single" w:color="C9C2D3" w:sz="4"/>
              <w:bottom w:val="single" w:color="C9C2D3" w:sz="4"/>
              <w:right w:val="single" w:color="C9C2D3" w:sz="4"/>
            </w:tcBorders>
            <w:shd w:fill="F1EEF5" w:color="auto" w:val="clear"/>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2</w:t>
            </w:r>
          </w:p>
        </w:tc>
        <w:tc>
          <w:tcPr>
            <w:tcW w:type="dxa" w:w="1400"/>
            <w:tcBorders>
              <w:top w:val="single" w:color="C9C2D3" w:sz="4"/>
              <w:left w:val="single" w:color="C9C2D3" w:sz="4"/>
              <w:bottom w:val="single" w:color="C9C2D3" w:sz="4"/>
              <w:right w:val="single" w:color="C9C2D3" w:sz="4"/>
            </w:tcBorders>
            <w:shd w:fill="F1EEF5" w:color="auto" w:val="clear"/>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1</w:t>
            </w:r>
          </w:p>
        </w:tc>
        <w:tc>
          <w:tcPr>
            <w:tcW w:type="dxa" w:w="1400"/>
            <w:tcBorders>
              <w:top w:val="single" w:color="C9C2D3" w:sz="4"/>
              <w:left w:val="single" w:color="C9C2D3" w:sz="4"/>
              <w:bottom w:val="single" w:color="C9C2D3" w:sz="4"/>
              <w:right w:val="single" w:color="C9C2D3" w:sz="4"/>
            </w:tcBorders>
            <w:shd w:fill="F1EEF5" w:color="auto" w:val="clear"/>
            <w:tcMar>
              <w:top w:type="dxa" w:w="70"/>
              <w:left w:type="dxa" w:w="90"/>
              <w:bottom w:type="dxa" w:w="70"/>
              <w:right w:type="dxa" w:w="90"/>
            </w:tcMar>
            <w:vAlign w:val="top"/>
          </w:tcPr>
          <w:p>
            <w:pPr>
              <w:spacing w:after="0" w:before="0" w:line="264"/>
              <w:jc w:val="center"/>
            </w:pPr>
            <w:r>
              <w:rPr>
                <w:rFonts w:ascii="Arial" w:cs="Arial" w:eastAsia="Arial" w:hAnsi="Arial"/>
                <w:b/>
                <w:bCs/>
                <w:i w:val="false"/>
                <w:iCs w:val="false"/>
                <w:color w:val="1C0F2F"/>
                <w:sz w:val="19"/>
                <w:szCs w:val="19"/>
              </w:rPr>
              <w:t xml:space="preserve">35</w:t>
            </w:r>
          </w:p>
        </w:tc>
      </w:tr>
    </w:tbl>
    <w:p>
      <w:pPr>
        <w:spacing w:after="60" w:before="100" w:line="264"/>
      </w:pPr>
      <w:r>
        <w:rPr>
          <w:rFonts w:ascii="Arial" w:cs="Arial" w:eastAsia="Arial" w:hAnsi="Arial"/>
          <w:b w:val="false"/>
          <w:bCs w:val="false"/>
          <w:i/>
          <w:iCs/>
          <w:color w:val="5A5266"/>
          <w:sz w:val="18"/>
          <w:szCs w:val="18"/>
        </w:rPr>
        <w:t xml:space="preserve">Questions are grouped by the role at Aikyam best placed to answer. A few parts note where a second role should join.</w:t>
      </w:r>
    </w:p>
    <w:p>
      <w:pPr>
        <w:spacing w:after="60" w:before="0" w:line="264"/>
      </w:pPr>
      <w:r>
        <w:br w:type="page"/>
      </w:r>
    </w:p>
    <w:p>
      <w:pPr>
        <w:spacing w:after="100" w:before="0" w:line="264"/>
      </w:pPr>
      <w:r>
        <w:rPr>
          <w:rFonts w:ascii="Arial" w:cs="Arial" w:eastAsia="Arial" w:hAnsi="Arial"/>
          <w:b/>
          <w:bCs/>
          <w:i w:val="false"/>
          <w:iCs w:val="false"/>
          <w:color w:val="1C0F2F"/>
          <w:sz w:val="30"/>
          <w:szCs w:val="30"/>
        </w:rPr>
        <w:t xml:space="preserve">Top priority: answers needed for the 2 Nov launch</w:t>
      </w:r>
    </w:p>
    <w:p>
      <w:pPr>
        <w:spacing w:after="200" w:before="0" w:line="290"/>
      </w:pPr>
      <w:r>
        <w:rPr>
          <w:rFonts w:ascii="Arial" w:cs="Arial" w:eastAsia="Arial" w:hAnsi="Arial"/>
          <w:b w:val="false"/>
          <w:bCs w:val="false"/>
          <w:i w:val="false"/>
          <w:iCs w:val="false"/>
          <w:color w:val="1C0F2F"/>
          <w:sz w:val="20"/>
          <w:szCs w:val="20"/>
        </w:rPr>
        <w:t xml:space="preserve">These ten questions block the launch. Each also appears in full, with its default and an Answer cell, in its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700"/>
        <w:gridCol w:w="3638"/>
        <w:gridCol w:w="1500"/>
      </w:tblGrid>
      <w:tr>
        <w:trPr>
          <w:tblHeader/>
        </w:trPr>
        <w:tc>
          <w:tcPr>
            <w:tcW w:type="dxa" w:w="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37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3638"/>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blocks the launch</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Who answers</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C1</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Aikyam Wealth ARN, CIN and registered office</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The ARN must appear wherever mutual funds are offered.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C3</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F&amp;O risk disclosure: current text and placement</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Home and Start Trading cannot go live with unconfirmed text.</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C4</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Consent and fine print on account-opening forms</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No form may collect a number without approved consent.</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C5</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Terms and Privacy Policy: entity clause and dates</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Both go live on 2 Nov. The live Terms tie broking clauses to Aikyam Wealth.</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C6</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Sign-off on the regulatory footer</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The footer is on every page and is marked "Wait for Confirmation".</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C7</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IPO distributor line for Aikyam Capital</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Home offers IPOs without a line naming the company.</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C8</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Exchange filing for the launch pages</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The filing window sets the copy freeze date.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Compliance officer</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B1</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₹0 account opening and the rate card</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The "Open free account" button and the Pricing page depend on it.</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Broking business head</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B4</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IPO applications at launch</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The main headings on Home and Start Trading name IPOs.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Broking business head</w:t>
            </w:r>
          </w:p>
        </w:tc>
      </w:tr>
      <w:tr>
        <w:trPr>
          <w:cantSplit/>
        </w:trPr>
        <w:tc>
          <w:tcPr>
            <w:tcW w:type="dxa" w:w="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9"/>
                <w:szCs w:val="19"/>
              </w:rPr>
              <w:t xml:space="preserve">T3</w:t>
            </w:r>
          </w:p>
        </w:tc>
        <w:tc>
          <w:tcPr>
            <w:tcW w:type="dxa" w:w="37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What happens after "Get OTP"</w:t>
            </w:r>
          </w:p>
        </w:tc>
        <w:tc>
          <w:tcPr>
            <w:tcW w:type="dxa" w:w="3638"/>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9"/>
                <w:szCs w:val="19"/>
              </w:rPr>
              <w:t xml:space="preserve">Forms cannot go live without a confirmed hand-off to KYC.</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8"/>
                <w:szCs w:val="18"/>
              </w:rPr>
              <w:t xml:space="preserve">Technology and KYC partner</w:t>
            </w:r>
          </w:p>
        </w:tc>
      </w:tr>
    </w:tbl>
    <w:p>
      <w:pPr>
        <w:sectPr>
          <w:footerReference w:type="default" r:id="rId7"/>
          <w:pgSz w:w="11906" w:h="16838" w:orient="portrait"/>
          <w:pgMar w:top="1134" w:right="1134" w:bottom="1134" w:left="1134" w:header="708" w:footer="708" w:gutter="0"/>
          <w:pgNumType/>
          <w:docGrid w:linePitch="360"/>
        </w:sectPr>
      </w:pPr>
    </w:p>
    <w:p>
      <w:pPr>
        <w:keepNext/>
        <w:spacing w:after="60" w:before="0" w:line="264"/>
      </w:pPr>
      <w:r>
        <w:rPr>
          <w:rFonts w:ascii="Arial" w:cs="Arial" w:eastAsia="Arial" w:hAnsi="Arial"/>
          <w:b/>
          <w:bCs/>
          <w:i w:val="false"/>
          <w:iCs w:val="false"/>
          <w:color w:val="1C0F2F"/>
          <w:sz w:val="28"/>
          <w:szCs w:val="28"/>
        </w:rPr>
        <w:t xml:space="preserve">Compliance officer (C1 to C13)</w:t>
      </w:r>
    </w:p>
    <w:p>
      <w:pPr>
        <w:keepNext/>
        <w:spacing w:after="160" w:before="0" w:line="264"/>
      </w:pPr>
      <w:r>
        <w:rPr>
          <w:rFonts w:ascii="Arial" w:cs="Arial" w:eastAsia="Arial" w:hAnsi="Arial"/>
          <w:b w:val="false"/>
          <w:bCs w:val="false"/>
          <w:i w:val="false"/>
          <w:iCs w:val="false"/>
          <w:color w:val="5A5266"/>
          <w:sz w:val="19"/>
          <w:szCs w:val="19"/>
        </w:rPr>
        <w:t xml:space="preserve">Registrations, mandatory disclosures, legal text and the wording of every form.</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300"/>
        <w:gridCol w:w="1800"/>
        <w:gridCol w:w="2400"/>
        <w:gridCol w:w="1500"/>
        <w:gridCol w:w="650"/>
        <w:gridCol w:w="1000"/>
        <w:gridCol w:w="2950"/>
      </w:tblGrid>
      <w:tr>
        <w:trPr>
          <w:tblHeader/>
        </w:trPr>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43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1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matters</w:t>
            </w:r>
          </w:p>
        </w:tc>
        <w:tc>
          <w:tcPr>
            <w:tcW w:type="dxa" w:w="2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Meanwhile, the pages show</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Pages affected</w:t>
            </w:r>
          </w:p>
        </w:tc>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Ref</w:t>
            </w:r>
          </w:p>
        </w:tc>
        <w:tc>
          <w:tcPr>
            <w:tcW w:type="dxa" w:w="10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Priority</w:t>
            </w:r>
          </w:p>
        </w:tc>
        <w:tc>
          <w:tcPr>
            <w:tcW w:type="dxa" w:w="29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Answer</w:t>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Aikyam Wealth registration details</w:t>
            </w:r>
          </w:p>
          <w:p>
            <w:pPr>
              <w:spacing w:after="50" w:before="0" w:line="264"/>
            </w:pPr>
            <w:r>
              <w:rPr>
                <w:rFonts w:ascii="Arial" w:cs="Arial" w:eastAsia="Arial" w:hAnsi="Arial"/>
                <w:b w:val="false"/>
                <w:bCs w:val="false"/>
                <w:i w:val="false"/>
                <w:iCs w:val="false"/>
                <w:color w:val="1C0F2F"/>
                <w:sz w:val="17"/>
                <w:szCs w:val="17"/>
              </w:rPr>
              <w:t xml:space="preserve">Please share these details for Aikyam Wealth Private Limited:</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AMFI ARN, written exactly as it should appear (with or without the "ARN-" prefix).</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CIN.</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Registered office address.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ARN must appear wherever mutual funds are offered, and the footer must show both companies side by side.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ARN, CIN and address appear as highlighted "to confirm" markers in fine print and in the Aikyam Wealth column of the footer. The ARN is kept out of the first screen until confirmed.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 Invest, Aikyam Wealth, Disclosures and Investor Charter, footer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Q4</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Where the ARN must appear</w:t>
            </w:r>
          </w:p>
          <w:p>
            <w:pPr>
              <w:spacing w:after="50" w:before="0" w:line="264"/>
            </w:pPr>
            <w:r>
              <w:rPr>
                <w:rFonts w:ascii="Arial" w:cs="Arial" w:eastAsia="Arial" w:hAnsi="Arial"/>
                <w:b w:val="false"/>
                <w:bCs w:val="false"/>
                <w:i w:val="false"/>
                <w:iCs w:val="false"/>
                <w:color w:val="1C0F2F"/>
                <w:sz w:val="17"/>
                <w:szCs w:val="17"/>
              </w:rPr>
              <w:t xml:space="preserve">Once we have the ARN, we will show it beside "AMFI-registered mutual fund distributor" in the first screen, and again in fine print.</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Is once per page enough, or must the ARN also sit under every form where an investor enters a mobile number?</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If the ARN is not available by 2 Nov, should the "AMFI-registered" line come off the first screen until it is?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AMFI code expects the ARN wherever a distributor advertises. A claim without the number should not go live.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first screen says "AMFI-registered mutual fund distributor" without the number. The ARN marker sits under the investing form, in the FAQ and in the footer.</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Q4</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F&amp;O risk disclosure: text and placement</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Please confirm the current SEBI-prescribed text and version of the F&amp;O risk disclosure. We use the SEBI circular of 19 May 2023 ("9 out of 10 individual traders in equity F&amp;O incurred net losses" and the related figures).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We show the full box, never collapsed, inside the trading section of Home (directly above the F&amp;O row) and directly under the F&amp;O heading on Start Trading, instead of a full-width band after the first screen. Is this placement sufficient?</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is the most visited page that carries the box. Outdated text or weak placement is a regulatory risk.</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Full text from the 19 May 2023 circular, marked "current SEBI text to confirm", placed in context as described in (b).</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Trade, Paid campaign landing page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C4</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Wording on account-opening forms</w:t>
            </w:r>
          </w:p>
          <w:p>
            <w:pPr>
              <w:spacing w:after="50" w:before="0" w:line="264"/>
            </w:pPr>
            <w:r>
              <w:rPr>
                <w:rFonts w:ascii="Arial" w:cs="Arial" w:eastAsia="Arial" w:hAnsi="Arial"/>
                <w:b w:val="false"/>
                <w:bCs w:val="false"/>
                <w:i w:val="false"/>
                <w:iCs w:val="false"/>
                <w:color w:val="1C0F2F"/>
                <w:sz w:val="17"/>
                <w:szCs w:val="17"/>
              </w:rPr>
              <w:t xml:space="preserve">Every form that collects a mobile number carries the same lines. Please approve or replace each one.</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Consent: "I agree to the Privacy Policy and allow Aikyam Capital to call, SMS or WhatsApp me about this application." (Aikyam Wealth forms use the same words with Aikyam Wealth.) Must the box be ticked to continue under the DPDP Act? Is any DND or NDNC wording needed?</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Receiver line: "Your number goes to Aikyam Capital Private Limited to send your OTP and continue your application." May it go without the registration number, since the number already appears once on the page?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Hand-off line: "Activation is subject to KYC verification and exchange approval." Does this apply to an Aikyam Wealth investing account? If not, what should it say?</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Calling back people who stop halfway is only lawful with valid consent. One approval covers every form on the site.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draft wording above, with one unticked box that must be ticked to continue. Aikyam Wealth forms say "Activation is subject to KYC verification" with a marker for any further checks.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 Paid campaign landing page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C5</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Terms and Conditions and Privacy Policy</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The live Terms define "Aikyam" as Aikyam Wealth, which ties broking clauses 10, 11, 13 and 14 to the distributor. Please supply a clause that sets out which services each company provides.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Does the Privacy Policy cover Aikyam Wealth as a company that receives applicants' data?</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Terms: version, effective date and last-updated date. Privacy Policy: effective date (version 1.0).</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May we remove the internal "final legal/regulatory review" note from the Privacy Policy before publishing?</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Both documents go live on 2 Nov, and every form links to the Privacy Policy.</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pages show the text exactly as supplied, with the dates as "to confirm" markers. We do not change the entity wording on our side.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Terms and Conditions, Privacy Policy, Start Trading, Start Investing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Q1, Q2, Q3, Q5</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C6</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Sign-off on the regulatory footer</w:t>
            </w:r>
          </w:p>
          <w:p>
            <w:pPr>
              <w:spacing w:after="50" w:before="0" w:line="264"/>
            </w:pPr>
            <w:r>
              <w:rPr>
                <w:rFonts w:ascii="Arial" w:cs="Arial" w:eastAsia="Arial" w:hAnsi="Arial"/>
                <w:b w:val="false"/>
                <w:bCs w:val="false"/>
                <w:i w:val="false"/>
                <w:iCs w:val="false"/>
                <w:color w:val="1C0F2F"/>
                <w:sz w:val="17"/>
                <w:szCs w:val="17"/>
              </w:rPr>
              <w:t xml:space="preserve">Your content document marks the regulatory footer "Wait for Confirmation". Please approve it, and confirm these points: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Aikyam Capital details as shown: CIN, GSTIN, DP ID (IN-DP-854-2026, NSDL IN305066) and the DP licence date, and the exchange and clearing member codes.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Proprietary trading disclosure: the wording, and whether it must also sit on broking pages.</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Should we add the SEBI line that registration and NISM certification "in no way guarantee performance of the intermediary or provide any assurance of returns"?</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Investor charters: the source for the Mutual Fund Distributor charter, and whether the Investor Charter for Stressed Asset Management belongs on ROOT.</w:t>
            </w:r>
          </w:p>
          <w:p>
            <w:pPr>
              <w:spacing w:after="40" w:line="252"/>
              <w:ind w:left="300" w:hanging="300"/>
            </w:pPr>
            <w:r>
              <w:rPr>
                <w:rFonts w:ascii="Arial" w:cs="Arial" w:eastAsia="Arial" w:hAnsi="Arial"/>
                <w:b/>
                <w:bCs/>
                <w:i w:val="false"/>
                <w:iCs w:val="false"/>
                <w:color w:val="1C0F2F"/>
                <w:sz w:val="17"/>
                <w:szCs w:val="17"/>
              </w:rPr>
              <w:t xml:space="preserve">(e) </w:t>
            </w:r>
            <w:r>
              <w:rPr>
                <w:rFonts w:ascii="Arial" w:cs="Arial" w:eastAsia="Arial" w:hAnsi="Arial"/>
                <w:b w:val="false"/>
                <w:bCs w:val="false"/>
                <w:i w:val="false"/>
                <w:iCs w:val="false"/>
                <w:color w:val="1C0F2F"/>
                <w:sz w:val="17"/>
                <w:szCs w:val="17"/>
              </w:rPr>
              <w:t xml:space="preserve">The two "Click Here" links in the Attention Investors block: the CDSL or NSDL e-voting address, and the address of the client registration documents in regional languages.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footer appears on every page and cannot go live without your approval.</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footer as drafted from your content document, with the note "Footer content awaits Aikyam compliance confirmation". The proprietary trading line sits as fine print in the Start Trading FAQ. The two links show as markers.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Footer (all pages), Disclosures and Investor Charter, Start Trading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Q6, Q13</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C7</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IPO distributor line for Aikyam Capital</w:t>
            </w:r>
          </w:p>
          <w:p>
            <w:pPr>
              <w:spacing w:after="50" w:before="0" w:line="264"/>
            </w:pPr>
            <w:r>
              <w:rPr>
                <w:rFonts w:ascii="Arial" w:cs="Arial" w:eastAsia="Arial" w:hAnsi="Arial"/>
                <w:b w:val="false"/>
                <w:bCs w:val="false"/>
                <w:i w:val="false"/>
                <w:iCs w:val="false"/>
                <w:color w:val="1C0F2F"/>
                <w:sz w:val="17"/>
                <w:szCs w:val="17"/>
              </w:rPr>
              <w:t xml:space="preserve">Home offers mutual funds through Aikyam Wealth and IPOs through Aikyam Capital. Your distributor disclaimer names only Aikyam Wealth. Please supply one line naming Aikyam Capital Private Limited as the trading member acting as distributor for IPOs, to sit beside it.</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Without it, the IPO offer on Home carries no disclosure naming the company that provides it.</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Your Aikyam Wealth disclaimer as supplied, plus a highlighted marker reading "IPO distributor line from Aikyam compliance".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later IPO, Upcoming IPOs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C8</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Exchange filing before launch</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Do Home and Start Trading count as advertisements that must be filed with the exchanges before 2 Nov?</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What filing window should we plan for, for the launch pages and for each paid campaign landing page?</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filing window decides the date by which launch copy must be frozen.</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All launch copy is treated as a draft until you approve it. We do not assume any filing period.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Paid campaign landing page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C9</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"Check it yourself" links</w:t>
            </w:r>
          </w:p>
          <w:p>
            <w:pPr>
              <w:spacing w:after="50" w:before="0" w:line="264"/>
            </w:pPr>
            <w:r>
              <w:rPr>
                <w:rFonts w:ascii="Arial" w:cs="Arial" w:eastAsia="Arial" w:hAnsi="Arial"/>
                <w:b w:val="false"/>
                <w:bCs w:val="false"/>
                <w:i w:val="false"/>
                <w:iCs w:val="false"/>
                <w:color w:val="1C0F2F"/>
                <w:sz w:val="17"/>
                <w:szCs w:val="17"/>
              </w:rPr>
              <w:t xml:space="preserve">The launch pages invite visitors to verify our registrations on official sites. Please confirm the exact page to link for each:</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SEBI intermediary search.</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NSDL depository participant list.</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AMFI ARN search.</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Exchange member lookups.</w:t>
            </w:r>
          </w:p>
          <w:p>
            <w:pPr>
              <w:spacing w:after="40" w:line="252"/>
              <w:ind w:left="300" w:hanging="300"/>
            </w:pPr>
            <w:r>
              <w:rPr>
                <w:rFonts w:ascii="Arial" w:cs="Arial" w:eastAsia="Arial" w:hAnsi="Arial"/>
                <w:b/>
                <w:bCs/>
                <w:i w:val="false"/>
                <w:iCs w:val="false"/>
                <w:color w:val="1C0F2F"/>
                <w:sz w:val="17"/>
                <w:szCs w:val="17"/>
              </w:rPr>
              <w:t xml:space="preserve">(e) </w:t>
            </w:r>
            <w:r>
              <w:rPr>
                <w:rFonts w:ascii="Arial" w:cs="Arial" w:eastAsia="Arial" w:hAnsi="Arial"/>
                <w:b w:val="false"/>
                <w:bCs w:val="false"/>
                <w:i w:val="false"/>
                <w:iCs w:val="false"/>
                <w:color w:val="1C0F2F"/>
                <w:sz w:val="17"/>
                <w:szCs w:val="17"/>
              </w:rPr>
              <w:t xml:space="preserve">The NSE page for F&amp;O contract specifications and the expiry calendar.</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These checks carry the trust case on the launch pages. A wrong link undermines it.</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Links to the home pages of sebi.gov.in, nsdl.co.in, amfiindia.com and nseindia.com.</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C10</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Grievance contacts and escalation wording</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Compliance officer details to publish (name, email, phone). Your Terms revision gives +91 22 6975 2600, which the published Escalation Matrix lists against the CEO. The Matrix lists the Compliance Officer on +91 22 6975 2604. Which is correct?</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Grievance officer details to publish, and the depository (DP) grievance email.</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Which email takes complaints about mutual fund distribution? grievances@aikyamcap.com is the broking address. What escalation route may the Aikyam Wealth pages describe?</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May we say "If you are not satisfied with the response, you can use SEBI's SCORES portal or the Smart ODR portal", linking scores.sebi.gov.in and smartodr.in?</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Grievance routes are mandatory. A wrong number sends complaints to the wrong desk.</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grievances@aikyamcap.com for broking. The SCORES and Smart ODR sentence with both links. The Aikyam Wealth route and officer details show as markers.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Grievance Redressal, Escalation Matrix and Key Managerial Persons, Terms and Conditions, Start Trading, Start Investing, footer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C11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Security and execution claims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What may we say about how applicants' data is stored, encrypted and shared (KRA and CKYC), for each company?</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Earlier copy uses "Bank-grade security" and "Fast, reliable execution". Can each be supported, or should it be dropped?</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Unsupported claims are an advertising risk, and data safety is a top concern for new applicants.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 short "Who handles your details?" card that names the KYC partner and links the Privacy Policy, with no security adjectives. Both claims are left out.</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 About</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C12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Wording on mutual fund pages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May an AMFI-registered distributor show an illustrative SIP card with an example scheme name ("Example Flexi Cap Fund", "Regular plan", captioned "Example names, not real schemes."), with no amounts or returns?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What help may Aikyam Wealth offer in choosing funds (a risk profile, a person to talk to), and in what words, so that it does not read as advice?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May Start Investing quote the Attention Investors line "KYC is one time exercise..." in its FAQ?</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These lines decide how close the pages come to advice, which a distributor must avoid.</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card as described. The FAQ says "You choose the schemes" with a marker for guidance wording. The KYC line is quoted word for word.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C13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Research and advice registration</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Does any Aikyam entity hold a SEBI Research Analyst (INH) or Investment Adviser (INA) registration?</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May we use "Institutional-grade research" or "Open-architecture research", as in earlier copy?</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Decides whether stock and market pages may ever carry research, ideas or recommendations.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No research, advice or recommendation language anywhere. Stock pages show data only.</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Equity, Stock Detail, Markets and Indices; later Learn guides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Before 8 Dec</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bl>
    <w:p>
      <w:pPr>
        <w:spacing w:after="60" w:before="0" w:line="264"/>
      </w:pPr>
      <w:r>
        <w:br w:type="page"/>
      </w:r>
    </w:p>
    <w:p>
      <w:pPr>
        <w:keepNext/>
        <w:spacing w:after="60" w:before="0" w:line="264"/>
      </w:pPr>
      <w:r>
        <w:rPr>
          <w:rFonts w:ascii="Arial" w:cs="Arial" w:eastAsia="Arial" w:hAnsi="Arial"/>
          <w:b/>
          <w:bCs/>
          <w:i w:val="false"/>
          <w:iCs w:val="false"/>
          <w:color w:val="1C0F2F"/>
          <w:sz w:val="28"/>
          <w:szCs w:val="28"/>
        </w:rPr>
        <w:t xml:space="preserve">Broking business head (B1 to B5)</w:t>
      </w:r>
    </w:p>
    <w:p>
      <w:pPr>
        <w:keepNext/>
        <w:spacing w:after="160" w:before="0" w:line="264"/>
      </w:pPr>
      <w:r>
        <w:rPr>
          <w:rFonts w:ascii="Arial" w:cs="Arial" w:eastAsia="Arial" w:hAnsi="Arial"/>
          <w:b w:val="false"/>
          <w:bCs w:val="false"/>
          <w:i w:val="false"/>
          <w:iCs w:val="false"/>
          <w:color w:val="5A5266"/>
          <w:sz w:val="19"/>
          <w:szCs w:val="19"/>
        </w:rPr>
        <w:t xml:space="preserve">Aikyam Capital: charges, segments, IPOs and who can open a trading account.</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300"/>
        <w:gridCol w:w="1800"/>
        <w:gridCol w:w="2400"/>
        <w:gridCol w:w="1500"/>
        <w:gridCol w:w="650"/>
        <w:gridCol w:w="1000"/>
        <w:gridCol w:w="2950"/>
      </w:tblGrid>
      <w:tr>
        <w:trPr>
          <w:tblHeader/>
        </w:trPr>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43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1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matters</w:t>
            </w:r>
          </w:p>
        </w:tc>
        <w:tc>
          <w:tcPr>
            <w:tcW w:type="dxa" w:w="2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Meanwhile, the pages show</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Pages affected</w:t>
            </w:r>
          </w:p>
        </w:tc>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Ref</w:t>
            </w:r>
          </w:p>
        </w:tc>
        <w:tc>
          <w:tcPr>
            <w:tcW w:type="dxa" w:w="10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Priority</w:t>
            </w:r>
          </w:p>
        </w:tc>
        <w:tc>
          <w:tcPr>
            <w:tcW w:type="dxa" w:w="29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Answer</w:t>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B1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Account opening charge and rate card</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Is opening a trading and demat account ₹0?</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Brokerage for each segment: equity delivery, intraday, futures, options, currency and commodity.</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DP charge.</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Annual maintenance charge (AMC).</w:t>
            </w:r>
          </w:p>
          <w:p>
            <w:pPr>
              <w:spacing w:after="40" w:line="252"/>
              <w:ind w:left="300" w:hanging="300"/>
            </w:pPr>
            <w:r>
              <w:rPr>
                <w:rFonts w:ascii="Arial" w:cs="Arial" w:eastAsia="Arial" w:hAnsi="Arial"/>
                <w:b/>
                <w:bCs/>
                <w:i w:val="false"/>
                <w:iCs w:val="false"/>
                <w:color w:val="1C0F2F"/>
                <w:sz w:val="17"/>
                <w:szCs w:val="17"/>
              </w:rPr>
              <w:t xml:space="preserve">(e) </w:t>
            </w:r>
            <w:r>
              <w:rPr>
                <w:rFonts w:ascii="Arial" w:cs="Arial" w:eastAsia="Arial" w:hAnsi="Arial"/>
                <w:b w:val="false"/>
                <w:bCs w:val="false"/>
                <w:i w:val="false"/>
                <w:iCs w:val="false"/>
                <w:color w:val="1C0F2F"/>
                <w:sz w:val="17"/>
                <w:szCs w:val="17"/>
              </w:rPr>
              <w:t xml:space="preserve">MTF interest rate, if MTF is offered.</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Cost is a first question for new clients. The site-wide button "Open free account" depends on (a).</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button reads "Open free account", but no ₹0 appears anywhere. Charges read "Rate card to confirm", with "Brokerage will never exceed the limits prescribed by SEBI." If (a) is not confirmed before launch, the button will read "Open your account".</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Pricing, header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Q7</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B2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F&amp;O activation</w:t>
            </w:r>
          </w:p>
          <w:p>
            <w:pPr>
              <w:spacing w:after="50" w:before="0" w:line="264"/>
            </w:pPr>
            <w:r>
              <w:rPr>
                <w:rFonts w:ascii="Arial" w:cs="Arial" w:eastAsia="Arial" w:hAnsi="Arial"/>
                <w:b w:val="false"/>
                <w:bCs w:val="false"/>
                <w:i w:val="false"/>
                <w:iCs w:val="false"/>
                <w:color w:val="1C0F2F"/>
                <w:sz w:val="17"/>
                <w:szCs w:val="17"/>
              </w:rPr>
              <w:t xml:space="preserve">Which proofs of income activate F&amp;O? Is activation requested during account opening or afterwards? Are there any other checks?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and Start Trading tell traders how to switch on F&amp;O.</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"Optional. You switch it on after sharing proof of income." The accepted proofs and the timing show as markers.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later Futures and Options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B3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Segments live at launch</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Which segments are live on 2 Nov: equity, F&amp;O, currency, commodity?</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On which exchanges for each (NSE, BSE, MCX, MSEI)?</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Can clients buy ETFs from launch?</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launch pages name the exchanges and show the segments a new client can add.</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Proof points name NSE, BSE, MCX and MSEI, as in your content document. A "Your segments" card shows equity on and three segments to add.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Trade, Invest; later Futures and Options, Currency and Commodity</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B4</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IPO applications at launch</w:t>
            </w:r>
          </w:p>
          <w:p>
            <w:pPr>
              <w:spacing w:after="50" w:before="0" w:line="264"/>
            </w:pPr>
            <w:r>
              <w:rPr>
                <w:rFonts w:ascii="Arial" w:cs="Arial" w:eastAsia="Arial" w:hAnsi="Arial"/>
                <w:b w:val="false"/>
                <w:bCs w:val="false"/>
                <w:i w:val="false"/>
                <w:iCs w:val="false"/>
                <w:color w:val="1C0F2F"/>
                <w:sz w:val="17"/>
                <w:szCs w:val="17"/>
              </w:rPr>
              <w:t xml:space="preserve">Can clients apply for IPOs through Aikyam Capital with a UPI mandate from 2 Nov? Is there a pre-apply option for upcoming issues?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main headings on Home and Start Trading name IPOs. If IPOs are not live at launch, those headings must change.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"Stocks, IPOs and mutual funds, in one place." The IPO row reads "Apply for open IPOs with UPI, and see what is coming up." The IPO card is labelled illustrative. No pre-apply claim.</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Invest; later IPO, Upcoming IPOs, IPO Calendar and Allotment Status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B5</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Who can open a trading account</w:t>
            </w:r>
          </w:p>
          <w:p>
            <w:pPr>
              <w:spacing w:after="50" w:before="0" w:line="264"/>
            </w:pPr>
            <w:r>
              <w:rPr>
                <w:rFonts w:ascii="Arial" w:cs="Arial" w:eastAsia="Arial" w:hAnsi="Arial"/>
                <w:b w:val="false"/>
                <w:bCs w:val="false"/>
                <w:i w:val="false"/>
                <w:iCs w:val="false"/>
                <w:color w:val="1C0F2F"/>
                <w:sz w:val="17"/>
                <w:szCs w:val="17"/>
              </w:rPr>
              <w:t xml:space="preserve">At launch, is the trading and demat account for resident Indian individuals only? Which of these are available: NRI, joint, minor, HUF, company?</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Eligibility is one of the first things an applicant checks.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"Resident Indian individuals" and "NRI accounts are not available on ROOT yet". Other account types show as a marker.</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Start Trading, Help Centre, Paid campaign landing page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bl>
    <w:p>
      <w:pPr>
        <w:spacing w:after="60" w:before="0" w:line="264"/>
      </w:pPr>
      <w:r>
        <w:br w:type="page"/>
      </w:r>
    </w:p>
    <w:p>
      <w:pPr>
        <w:keepNext/>
        <w:spacing w:after="60" w:before="0" w:line="264"/>
      </w:pPr>
      <w:r>
        <w:rPr>
          <w:rFonts w:ascii="Arial" w:cs="Arial" w:eastAsia="Arial" w:hAnsi="Arial"/>
          <w:b/>
          <w:bCs/>
          <w:i w:val="false"/>
          <w:iCs w:val="false"/>
          <w:color w:val="1C0F2F"/>
          <w:sz w:val="28"/>
          <w:szCs w:val="28"/>
        </w:rPr>
        <w:t xml:space="preserve">Wealth business head (W1 to W5)</w:t>
      </w:r>
    </w:p>
    <w:p>
      <w:pPr>
        <w:keepNext/>
        <w:spacing w:after="160" w:before="0" w:line="264"/>
      </w:pPr>
      <w:r>
        <w:rPr>
          <w:rFonts w:ascii="Arial" w:cs="Arial" w:eastAsia="Arial" w:hAnsi="Arial"/>
          <w:b w:val="false"/>
          <w:bCs w:val="false"/>
          <w:i w:val="false"/>
          <w:iCs w:val="false"/>
          <w:color w:val="5A5266"/>
          <w:sz w:val="19"/>
          <w:szCs w:val="19"/>
        </w:rPr>
        <w:t xml:space="preserve">Aikyam Wealth: SIPs, the investing account, costs and products beyond mutual funds.</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300"/>
        <w:gridCol w:w="1800"/>
        <w:gridCol w:w="2400"/>
        <w:gridCol w:w="1500"/>
        <w:gridCol w:w="650"/>
        <w:gridCol w:w="1000"/>
        <w:gridCol w:w="2950"/>
      </w:tblGrid>
      <w:tr>
        <w:trPr>
          <w:tblHeader/>
        </w:trPr>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43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1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matters</w:t>
            </w:r>
          </w:p>
        </w:tc>
        <w:tc>
          <w:tcPr>
            <w:tcW w:type="dxa" w:w="2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Meanwhile, the pages show</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Pages affected</w:t>
            </w:r>
          </w:p>
        </w:tc>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Ref</w:t>
            </w:r>
          </w:p>
        </w:tc>
        <w:tc>
          <w:tcPr>
            <w:tcW w:type="dxa" w:w="10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Priority</w:t>
            </w:r>
          </w:p>
        </w:tc>
        <w:tc>
          <w:tcPr>
            <w:tcW w:type="dxa" w:w="29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Answer</w:t>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W1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SIP at launch</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Can investors start a SIP from 2 Nov?</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How are instalments collected (for example, an auto-debit mandate)?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Does ROOT set any minimum beyond each scheme's own?</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Start Investing leads with SIPs and shows an illustrative SIP card.</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SIP in the opening lines and the FAQ, with mandate details as a marker. If SIPs are not live, the SIP card is replaced by a fund categories card.</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 later SIP, SIP Calculator</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W2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Investing account basics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Are mutual fund units held in a folio with the fund house (statement of account), or in the investor's demat account?</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Who can open an investing account: resident individuals only, or also NRI, joint, minor and HUF?</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Answers two common questions: "Do I need a demat account?" and "Can I open one?"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"No trading account needed" and "Resident Indian individuals". Holding details and other account types show as markers.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 Help Centre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W3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Mutual fund costs and commission disclosure</w:t>
            </w:r>
          </w:p>
          <w:p>
            <w:pPr>
              <w:spacing w:after="50" w:before="0" w:line="264"/>
            </w:pPr>
            <w:r>
              <w:rPr>
                <w:rFonts w:ascii="Arial" w:cs="Arial" w:eastAsia="Arial" w:hAnsi="Arial"/>
                <w:b w:val="false"/>
                <w:bCs w:val="false"/>
                <w:i w:val="false"/>
                <w:iCs w:val="false"/>
                <w:color w:val="1C0F2F"/>
                <w:sz w:val="17"/>
                <w:szCs w:val="17"/>
              </w:rPr>
              <w:t xml:space="preserve">Parts (a) and (c) with the Compliance officer.</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Is opening an Aikyam Wealth investing account free? If it is ₹0, may it appear as a large "₹0" next to the "How Aikyam Wealth is paid: commission" tile, or should it stay in plain text so it does not read as "zero commission"?</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Does Aikyam Wealth charge a transaction charge on mutual fund purchases? Is "When you buy units, if it applies." acceptable meanwhile?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Is a trail commission disclosure required on Home and Pricing? Please approve: "Aikyam Wealth is paid a commission by the fund house. It is included in the plan's expense ratio."</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Investors ask what the distributor earns. A ₹0 beside a commission line must not read as "zero commission".</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No "free" or "₹0" in investing copy. The account charge and transaction charge show as markers in plain text. The commission line above, with a link to the commission disclosure page.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 Pricing; later Distribution Fee and Commission Disclosure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W4</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Enquiries from larger investors</w:t>
            </w:r>
          </w:p>
          <w:p>
            <w:pPr>
              <w:spacing w:after="50" w:before="0" w:line="264"/>
            </w:pPr>
            <w:r>
              <w:rPr>
                <w:rFonts w:ascii="Arial" w:cs="Arial" w:eastAsia="Arial" w:hAnsi="Arial"/>
                <w:b w:val="false"/>
                <w:bCs w:val="false"/>
                <w:i w:val="false"/>
                <w:iCs w:val="false"/>
                <w:color w:val="1C0F2F"/>
                <w:sz w:val="17"/>
                <w:szCs w:val="17"/>
              </w:rPr>
              <w:t xml:space="preserve">Is there a way today for larger investors to talk to the wealth team? Which company receives these enquiries, and at which email or number?</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Larger investors are a Home audience. The Contact form today sends details to Aikyam Capital.</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Home FAQ points to info@aikyamcap.com. PMS shows as "Coming soon".</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Contact, Aikyam Wealth</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W5</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Products beyond mutual funds</w:t>
            </w:r>
          </w:p>
          <w:p>
            <w:pPr>
              <w:spacing w:after="50" w:before="0" w:line="264"/>
            </w:pPr>
            <w:r>
              <w:rPr>
                <w:rFonts w:ascii="Arial" w:cs="Arial" w:eastAsia="Arial" w:hAnsi="Arial"/>
                <w:b w:val="false"/>
                <w:bCs w:val="false"/>
                <w:i w:val="false"/>
                <w:iCs w:val="false"/>
                <w:color w:val="1C0F2F"/>
                <w:sz w:val="17"/>
                <w:szCs w:val="17"/>
              </w:rPr>
              <w:t xml:space="preserve">Part (d) with the Compliance officer.</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Does Aikyam Wealth distribute bonds and fixed income, and NPS?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PMS: which managers and strategies are empanelled for distribution?</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Will ROOT offer AIFs? They are named in your launch brief.</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Insurance: which company holds the licence, its IRDAI class (Corporate Agent or Insurance Broker), the licence number, and which lines are live.</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These pages stay as "Coming soon" drafts until each product is cleared.</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Insurance, Bonds and Fixed Income, NPS and PMS show as "Coming soon" in the menus. Their pages are drafts with no claims.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Insurance pages, Bonds and Fixed Income, NPS, PMS pages, Invest menu</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Before 13 Jan</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bl>
    <w:p>
      <w:pPr>
        <w:spacing w:after="60" w:before="0" w:line="264"/>
      </w:pPr>
      <w:r>
        <w:br w:type="page"/>
      </w:r>
    </w:p>
    <w:p>
      <w:pPr>
        <w:keepNext/>
        <w:spacing w:after="60" w:before="0" w:line="264"/>
      </w:pPr>
      <w:r>
        <w:rPr>
          <w:rFonts w:ascii="Arial" w:cs="Arial" w:eastAsia="Arial" w:hAnsi="Arial"/>
          <w:b/>
          <w:bCs/>
          <w:i w:val="false"/>
          <w:iCs w:val="false"/>
          <w:color w:val="1C0F2F"/>
          <w:sz w:val="28"/>
          <w:szCs w:val="28"/>
        </w:rPr>
        <w:t xml:space="preserve">Technology and KYC partner (T1 to T6)</w:t>
      </w:r>
    </w:p>
    <w:p>
      <w:pPr>
        <w:keepNext/>
        <w:spacing w:after="160" w:before="0" w:line="264"/>
      </w:pPr>
      <w:r>
        <w:rPr>
          <w:rFonts w:ascii="Arial" w:cs="Arial" w:eastAsia="Arial" w:hAnsi="Arial"/>
          <w:b w:val="false"/>
          <w:bCs w:val="false"/>
          <w:i w:val="false"/>
          <w:iCs w:val="false"/>
          <w:color w:val="5A5266"/>
          <w:sz w:val="19"/>
          <w:szCs w:val="19"/>
        </w:rPr>
        <w:t xml:space="preserve">The account-opening flow, KYC, market data and hosting.</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300"/>
        <w:gridCol w:w="1800"/>
        <w:gridCol w:w="2400"/>
        <w:gridCol w:w="1500"/>
        <w:gridCol w:w="650"/>
        <w:gridCol w:w="1000"/>
        <w:gridCol w:w="2950"/>
      </w:tblGrid>
      <w:tr>
        <w:trPr>
          <w:tblHeader/>
        </w:trPr>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43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1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matters</w:t>
            </w:r>
          </w:p>
        </w:tc>
        <w:tc>
          <w:tcPr>
            <w:tcW w:type="dxa" w:w="2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Meanwhile, the pages show</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Pages affected</w:t>
            </w:r>
          </w:p>
        </w:tc>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Ref</w:t>
            </w:r>
          </w:p>
        </w:tc>
        <w:tc>
          <w:tcPr>
            <w:tcW w:type="dxa" w:w="10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Priority</w:t>
            </w:r>
          </w:p>
        </w:tc>
        <w:tc>
          <w:tcPr>
            <w:tcW w:type="dxa" w:w="29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Answer</w:t>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One sign-up or two</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Can one sign-up open both the Aikyam Capital trading and demat account and the Aikyam Wealth investing account?</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Can an existing Aikyam Capital client add mutual fund investing to the same login?</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Decides the two entry points on Home and whether the site may ever say "one account".</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Two doors: "Open free account" for trading (Aikyam Capital) first, and "Only mutual funds? Start investing" (Aikyam Wealth). No "one account" wording.</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 header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KYC partner and live steps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Who is the KYC partner for each company (Finovo 1KYC?), and is it the same for Aikyam Wealth?</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What is the live step order for the trading flow? Does it start with mobile number and OTP?</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What is the step order for the investing flow (DigiLocker, e-sign, nominee, FATCA, SIP mandate)?</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Is every step online for resident individuals, with no video IPV, courier or wet signature?</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pages show four steps and name the KYC partner under every form. We can say "fully online" only if (d) is yes.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Four steps (mobile and OTP, verify PAN, Aadhaar via DigiLocker, link bank and e-sign) captioned "Steps shown are indicative and will be confirmed with the KYC partner's live flow." The partner name shows as a marker. Copy says "online", not "fully online".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 KYC and Account Opening Documents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What happens after "Get OTP"</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Where does the mobile number go: an OTP step on the Start Trading page, ekyc.rootbyaikyam.com, or the KYC partner's own address (aikyamcapital.1kyc.finovo.tech)? Can the Home form pass the number on, so the visitor does not type it twice?</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OTP channel (SMS or WhatsApp), number of digits and resend interval.</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If the number already has an account, should we send the visitor to login?</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Where do the numbers of people who stop halfway land (CRM), so your team can call them back?</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This is the first step of every application. The forms cannot go live without a confirmed hand-off.</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Home form passes the number to Start Trading, which sends the OTP and then continues to the KYC partner. A known number sees "This number already has an Aikyam Capital account." with a Log in link.</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 Paid campaign landing page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T4</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Timing, and when things go wrong</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How long does account opening take, and how soon is an account usually active?</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What happens if an applicant stops halfway? Can they resume where they left off?</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What happens when PAN, Aadhaar or bank checks fail, including when Aadhaar is not linked to the mobile number?</w:t>
            </w:r>
          </w:p>
          <w:p>
            <w:pPr>
              <w:spacing w:after="40" w:line="252"/>
              <w:ind w:left="300" w:hanging="300"/>
            </w:pPr>
            <w:r>
              <w:rPr>
                <w:rFonts w:ascii="Arial" w:cs="Arial" w:eastAsia="Arial" w:hAnsi="Arial"/>
                <w:b/>
                <w:bCs/>
                <w:i w:val="false"/>
                <w:iCs w:val="false"/>
                <w:color w:val="1C0F2F"/>
                <w:sz w:val="17"/>
                <w:szCs w:val="17"/>
              </w:rPr>
              <w:t xml:space="preserve">(d) </w:t>
            </w:r>
            <w:r>
              <w:rPr>
                <w:rFonts w:ascii="Arial" w:cs="Arial" w:eastAsia="Arial" w:hAnsi="Arial"/>
                <w:b w:val="false"/>
                <w:bCs w:val="false"/>
                <w:i w:val="false"/>
                <w:iCs w:val="false"/>
                <w:color w:val="1C0F2F"/>
                <w:sz w:val="17"/>
                <w:szCs w:val="17"/>
              </w:rPr>
              <w:t xml:space="preserve">If an investor already has a KYC record, does the flow skip steps?</w:t>
            </w:r>
          </w:p>
          <w:p>
            <w:pPr>
              <w:spacing w:after="40" w:line="252"/>
              <w:ind w:left="300" w:hanging="300"/>
            </w:pPr>
            <w:r>
              <w:rPr>
                <w:rFonts w:ascii="Arial" w:cs="Arial" w:eastAsia="Arial" w:hAnsi="Arial"/>
                <w:b/>
                <w:bCs/>
                <w:i w:val="false"/>
                <w:iCs w:val="false"/>
                <w:color w:val="1C0F2F"/>
                <w:sz w:val="17"/>
                <w:szCs w:val="17"/>
              </w:rPr>
              <w:t xml:space="preserve">(e) </w:t>
            </w:r>
            <w:r>
              <w:rPr>
                <w:rFonts w:ascii="Arial" w:cs="Arial" w:eastAsia="Arial" w:hAnsi="Arial"/>
                <w:b w:val="false"/>
                <w:bCs w:val="false"/>
                <w:i w:val="false"/>
                <w:iCs w:val="false"/>
                <w:color w:val="1C0F2F"/>
                <w:sz w:val="17"/>
                <w:szCs w:val="17"/>
              </w:rPr>
              <w:t xml:space="preserve">Do the answers above also hold for the Aikyam Wealth investing flow?</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"How long does it take?" and "What if I stop?" are among the most asked questions.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No duration or activation time is stated. A "Stopped halfway?" card shows markers for the resume and failed-check steps.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Start Trading, Start Investing, Help Centre</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T5</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Market data and test access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Which market data feed does the ROOT app use, and are prices live or delayed?</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Does the licence cover display on the website?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Please share test login details and the latest app build (APK), so we can plan the data pages.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Phase 2 pages show fund, IPO, stock and index data. A live index strip on Home needs a website display licence.</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No live prices in Phase 1. All market data in designs is labelled illustrative.</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Markets and Indices, Stock Detail, Fund Explorer, Scheme Detail, IPO pages, Home (index strip)</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Q16</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Before 8 Dec</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T6</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Hosting and deployment</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Who controls the current rootbyaikyam.com deployment?</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Where will the site be hosted? The Next.js front end and Node CMS need a Node runtime and a database, which the current static cPanel hosting does not provide.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Page addresses: folder style (/privacy-policy/) or file style (privacy-policy.html)?</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launch build cannot go up until hosting is ready and someone with access is named.</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Folder-style addresses, matching the links already prepared for search engines. The upload plan waits for (a) and (b).</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Q14, Q15</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bl>
    <w:p>
      <w:pPr>
        <w:spacing w:after="60" w:before="0" w:line="264"/>
      </w:pPr>
      <w:r>
        <w:br w:type="page"/>
      </w:r>
    </w:p>
    <w:p>
      <w:pPr>
        <w:keepNext/>
        <w:spacing w:after="60" w:before="0" w:line="264"/>
      </w:pPr>
      <w:r>
        <w:rPr>
          <w:rFonts w:ascii="Arial" w:cs="Arial" w:eastAsia="Arial" w:hAnsi="Arial"/>
          <w:b/>
          <w:bCs/>
          <w:i w:val="false"/>
          <w:iCs w:val="false"/>
          <w:color w:val="1C0F2F"/>
          <w:sz w:val="28"/>
          <w:szCs w:val="28"/>
        </w:rPr>
        <w:t xml:space="preserve">Product and client relations (P1 to P6)</w:t>
      </w:r>
    </w:p>
    <w:p>
      <w:pPr>
        <w:keepNext/>
        <w:spacing w:after="160" w:before="0" w:line="264"/>
      </w:pPr>
      <w:r>
        <w:rPr>
          <w:rFonts w:ascii="Arial" w:cs="Arial" w:eastAsia="Arial" w:hAnsi="Arial"/>
          <w:b w:val="false"/>
          <w:bCs w:val="false"/>
          <w:i w:val="false"/>
          <w:iCs w:val="false"/>
          <w:color w:val="5A5266"/>
          <w:sz w:val="19"/>
          <w:szCs w:val="19"/>
        </w:rPr>
        <w:t xml:space="preserve">Brand name, contacts, offices, the investing platform, photography and the app.</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300"/>
        <w:gridCol w:w="1800"/>
        <w:gridCol w:w="2400"/>
        <w:gridCol w:w="1500"/>
        <w:gridCol w:w="650"/>
        <w:gridCol w:w="1000"/>
        <w:gridCol w:w="2950"/>
      </w:tblGrid>
      <w:tr>
        <w:trPr>
          <w:tblHeader/>
        </w:trPr>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ID</w:t>
            </w:r>
          </w:p>
        </w:tc>
        <w:tc>
          <w:tcPr>
            <w:tcW w:type="dxa" w:w="43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Question</w:t>
            </w:r>
          </w:p>
        </w:tc>
        <w:tc>
          <w:tcPr>
            <w:tcW w:type="dxa" w:w="18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Why it matters</w:t>
            </w:r>
          </w:p>
        </w:tc>
        <w:tc>
          <w:tcPr>
            <w:tcW w:type="dxa" w:w="24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Meanwhile, the pages show</w:t>
            </w:r>
          </w:p>
        </w:tc>
        <w:tc>
          <w:tcPr>
            <w:tcW w:type="dxa" w:w="15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Pages affected</w:t>
            </w:r>
          </w:p>
        </w:tc>
        <w:tc>
          <w:tcPr>
            <w:tcW w:type="dxa" w:w="6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Ref</w:t>
            </w:r>
          </w:p>
        </w:tc>
        <w:tc>
          <w:tcPr>
            <w:tcW w:type="dxa" w:w="100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Priority</w:t>
            </w:r>
          </w:p>
        </w:tc>
        <w:tc>
          <w:tcPr>
            <w:tcW w:type="dxa" w:w="2950"/>
            <w:tcBorders>
              <w:top w:val="single" w:color="C9C2D3" w:sz="4"/>
              <w:left w:val="single" w:color="C9C2D3" w:sz="4"/>
              <w:bottom w:val="single" w:color="C9C2D3" w:sz="4"/>
              <w:right w:val="single" w:color="C9C2D3" w:sz="4"/>
            </w:tcBorders>
            <w:shd w:fill="1C0F2F" w:color="auto" w:val="clear"/>
            <w:tcMar>
              <w:top w:type="dxa" w:w="70"/>
              <w:left w:type="dxa" w:w="90"/>
              <w:bottom w:type="dxa" w:w="70"/>
              <w:right w:type="dxa" w:w="90"/>
            </w:tcMar>
            <w:vAlign w:val="center"/>
          </w:tcPr>
          <w:p>
            <w:pPr>
              <w:spacing w:after="0" w:before="0" w:line="264"/>
            </w:pPr>
            <w:r>
              <w:rPr>
                <w:rFonts w:ascii="Arial" w:cs="Arial" w:eastAsia="Arial" w:hAnsi="Arial"/>
                <w:b/>
                <w:bCs/>
                <w:i w:val="false"/>
                <w:iCs w:val="false"/>
                <w:color w:val="FFFFFF"/>
                <w:sz w:val="17"/>
                <w:szCs w:val="17"/>
              </w:rPr>
              <w:t xml:space="preserve">Answer</w:t>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P1</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Product name, tagline and group names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Please confirm in writing: "ROOT by Aikyam" with "Where your wealth begins." (content document), or "ROOT by Aikyam Wealth" with "Where Wealth Begins" (launch brief)?</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The group diagram shows investment banking and asset management as group lines. Should it name the companies behind them?</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name and tagline appear on every page and in every screenshot.</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"ROOT by Aikyam" and "Where your wealth begins." Group lines without company names.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Header (all pages), Home, About</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P2</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Which contact customers should use</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For "talk to a real person", which email: info@aikyamcap.com, helpdesk@aikyamcap.com or grievances@aikyamcap.com?</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May we show the helpdesk number +91 22 6975 2608 to customers? The main line +91 22 6975 2600 is listed against the CEO in the published Escalation Matrix, so we keep it off customer pages.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wrong line sends retail callers to senior management instead of the helpdesk.</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info@aikyamcap.com and a link to Contact, with no phone number in page text. Where a phone is shown, the helpdesk number.</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Contact, Help Centre, Start Trading, Start Investing, footer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Q8</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P3</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Offices and company links</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Corporate office: your Terms revision gives 410, B Wing, Knox Plaza, Malad West; the website and Escalation Matrix give 1704, Level 17, Lotus Link Square. Is Knox Plaza Aikyam Wealth's office and Lotus Link Square Aikyam Capital's?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Should the Contact page show the regional offices (GIFT City, Chennai, Noida, Dubai)?</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Careers page address (the link on the live site goes nowhere).</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Addresses appear in the Terms, the footer and on Contact, and must match your filings.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registered office (1203, Level 12, Lotus Link Square) only. Regional offices not shown. The Careers link shows as a marker.</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Contact, Terms and Conditions, About, footer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Q10, Q11</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P4</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Investing platform at launch</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On 2 Nov, where does an Aikyam Wealth investor choose funds and start a SIP, and where do they log in (Wealth app address)?</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Will ROOT show shares, IPO applications and mutual funds together in one portfolio view (web now, app later)?</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Please share the app feature details document ("Root by Aikyam Wealth - Feature Details", mentioned on 24 Jul), which we have not received.</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Home hero pictures one combined portfolio, and existing investors need a working login link.</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hero shows the illustrative combined view approved on 8 Oct, labelled "Illustrative data. Not real prices or returns." The Wealth login shows as a marker, with no link.</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Investing, header (all pages); later Login</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Q9</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P5</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Photography</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For the image slots (the support team at the Mumbai office; a young professional at home), will Aikyam arrange a shoot, commission images, or prefer illustration?</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Who signs model releases for staff and models?</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design uses real Aikyam people only, never stock photos of traders.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Art-directed image slots with a short brief for each. No stock photos and no trading screens.</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Home, Start Trading, Start Investing</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5A5266"/>
                <w:sz w:val="17"/>
                <w:szCs w:val="17"/>
              </w:rPr>
              <w:t xml:space="preserve">None</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r>
        <w:trPr>
          <w:cantSplit/>
        </w:trPr>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8"/>
                <w:szCs w:val="18"/>
              </w:rPr>
              <w:t xml:space="preserve">P6</w:t>
            </w:r>
          </w:p>
        </w:tc>
        <w:tc>
          <w:tcPr>
            <w:tcW w:type="dxa" w:w="43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50" w:before="0" w:line="264"/>
            </w:pPr>
            <w:r>
              <w:rPr>
                <w:rFonts w:ascii="Arial" w:cs="Arial" w:eastAsia="Arial" w:hAnsi="Arial"/>
                <w:b/>
                <w:bCs/>
                <w:i w:val="false"/>
                <w:iCs w:val="false"/>
                <w:color w:val="1C0F2F"/>
                <w:sz w:val="18"/>
                <w:szCs w:val="18"/>
              </w:rPr>
              <w:t xml:space="preserve">The ROOT app</w:t>
            </w:r>
          </w:p>
          <w:p>
            <w:pPr>
              <w:spacing w:after="40" w:line="252"/>
              <w:ind w:left="300" w:hanging="300"/>
            </w:pPr>
            <w:r>
              <w:rPr>
                <w:rFonts w:ascii="Arial" w:cs="Arial" w:eastAsia="Arial" w:hAnsi="Arial"/>
                <w:b/>
                <w:bCs/>
                <w:i w:val="false"/>
                <w:iCs w:val="false"/>
                <w:color w:val="1C0F2F"/>
                <w:sz w:val="17"/>
                <w:szCs w:val="17"/>
              </w:rPr>
              <w:t xml:space="preserve">(a) </w:t>
            </w:r>
            <w:r>
              <w:rPr>
                <w:rFonts w:ascii="Arial" w:cs="Arial" w:eastAsia="Arial" w:hAnsi="Arial"/>
                <w:b w:val="false"/>
                <w:bCs w:val="false"/>
                <w:i w:val="false"/>
                <w:iCs w:val="false"/>
                <w:color w:val="1C0F2F"/>
                <w:sz w:val="17"/>
                <w:szCs w:val="17"/>
              </w:rPr>
              <w:t xml:space="preserve">App Store and Google Play links, listing names and launch date.</w:t>
            </w:r>
          </w:p>
          <w:p>
            <w:pPr>
              <w:spacing w:after="40" w:line="252"/>
              <w:ind w:left="300" w:hanging="300"/>
            </w:pPr>
            <w:r>
              <w:rPr>
                <w:rFonts w:ascii="Arial" w:cs="Arial" w:eastAsia="Arial" w:hAnsi="Arial"/>
                <w:b/>
                <w:bCs/>
                <w:i w:val="false"/>
                <w:iCs w:val="false"/>
                <w:color w:val="1C0F2F"/>
                <w:sz w:val="17"/>
                <w:szCs w:val="17"/>
              </w:rPr>
              <w:t xml:space="preserve">(b) </w:t>
            </w:r>
            <w:r>
              <w:rPr>
                <w:rFonts w:ascii="Arial" w:cs="Arial" w:eastAsia="Arial" w:hAnsi="Arial"/>
                <w:b w:val="false"/>
                <w:bCs w:val="false"/>
                <w:i w:val="false"/>
                <w:iCs w:val="false"/>
                <w:color w:val="1C0F2F"/>
                <w:sz w:val="17"/>
                <w:szCs w:val="17"/>
              </w:rPr>
              <w:t xml:space="preserve">Until the app is live, should Get the App collect "tell me when it is live" sign-ups (this needs a form and a place to store the numbers), or should we soften the promise?</w:t>
            </w:r>
          </w:p>
          <w:p>
            <w:pPr>
              <w:spacing w:after="40" w:line="252"/>
              <w:ind w:left="300" w:hanging="300"/>
            </w:pPr>
            <w:r>
              <w:rPr>
                <w:rFonts w:ascii="Arial" w:cs="Arial" w:eastAsia="Arial" w:hAnsi="Arial"/>
                <w:b/>
                <w:bCs/>
                <w:i w:val="false"/>
                <w:iCs w:val="false"/>
                <w:color w:val="1C0F2F"/>
                <w:sz w:val="17"/>
                <w:szCs w:val="17"/>
              </w:rPr>
              <w:t xml:space="preserve">(c) </w:t>
            </w:r>
            <w:r>
              <w:rPr>
                <w:rFonts w:ascii="Arial" w:cs="Arial" w:eastAsia="Arial" w:hAnsi="Arial"/>
                <w:b w:val="false"/>
                <w:bCs w:val="false"/>
                <w:i w:val="false"/>
                <w:iCs w:val="false"/>
                <w:color w:val="1C0F2F"/>
                <w:sz w:val="17"/>
                <w:szCs w:val="17"/>
              </w:rPr>
              <w:t xml:space="preserve">Once the app is live, should the site send new users to the app first, or to web account opening?</w:t>
            </w:r>
          </w:p>
        </w:tc>
        <w:tc>
          <w:tcPr>
            <w:tcW w:type="dxa" w:w="18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The announcement bar, Get the App and every store button depend on this.</w:t>
            </w:r>
          </w:p>
        </w:tc>
        <w:tc>
          <w:tcPr>
            <w:tcW w:type="dxa" w:w="24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Store buttons shown disabled with a "Coming soon" badge. The QR code "will appear here at launch".</w:t>
            </w:r>
          </w:p>
        </w:tc>
        <w:tc>
          <w:tcPr>
            <w:tcW w:type="dxa" w:w="15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Get the App, Home, announcement bar (all pages)</w:t>
            </w:r>
          </w:p>
        </w:tc>
        <w:tc>
          <w:tcPr>
            <w:tcW w:type="dxa" w:w="65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Q12</w:t>
            </w:r>
          </w:p>
        </w:tc>
        <w:tc>
          <w:tcPr>
            <w:tcW w:type="dxa" w:w="1000"/>
            <w:tcBorders>
              <w:top w:val="single" w:color="C9C2D3" w:sz="4"/>
              <w:left w:val="single" w:color="C9C2D3" w:sz="4"/>
              <w:bottom w:val="single" w:color="C9C2D3" w:sz="4"/>
              <w:right w:val="single" w:color="C9C2D3" w:sz="4"/>
            </w:tcBorders>
            <w:tcMar>
              <w:top w:type="dxa" w:w="70"/>
              <w:left w:type="dxa" w:w="90"/>
              <w:bottom w:type="dxa" w:w="70"/>
              <w:right w:type="dxa" w:w="90"/>
            </w:tcMar>
            <w:vAlign w:val="top"/>
          </w:tcPr>
          <w:p>
            <w:pPr>
              <w:spacing w:after="0" w:before="0" w:line="264"/>
            </w:pPr>
            <w:r>
              <w:rPr>
                <w:rFonts w:ascii="Arial" w:cs="Arial" w:eastAsia="Arial" w:hAnsi="Arial"/>
                <w:b/>
                <w:bCs/>
                <w:i w:val="false"/>
                <w:iCs w:val="false"/>
                <w:color w:val="1C0F2F"/>
                <w:sz w:val="17"/>
                <w:szCs w:val="17"/>
              </w:rPr>
              <w:t xml:space="preserve">Before 2 Nov launch</w:t>
            </w:r>
          </w:p>
        </w:tc>
        <w:tc>
          <w:tcPr>
            <w:tcW w:type="dxa" w:w="2950"/>
            <w:tcBorders>
              <w:top w:val="single" w:color="C9C2D3" w:sz="4"/>
              <w:left w:val="single" w:color="C9C2D3" w:sz="4"/>
              <w:bottom w:val="single" w:color="C9C2D3" w:sz="4"/>
              <w:right w:val="single" w:color="C9C2D3" w:sz="4"/>
            </w:tcBorders>
            <w:shd w:fill="FFFCEF" w:color="auto" w:val="clear"/>
            <w:tcMar>
              <w:top w:type="dxa" w:w="70"/>
              <w:left w:type="dxa" w:w="90"/>
              <w:bottom w:type="dxa" w:w="70"/>
              <w:right w:type="dxa" w:w="90"/>
            </w:tcMar>
            <w:vAlign w:val="top"/>
          </w:tcPr>
          <w:p>
            <w:pPr>
              <w:spacing w:after="0" w:before="0" w:line="264"/>
            </w:pPr>
            <w:r>
              <w:rPr>
                <w:rFonts w:ascii="Arial" w:cs="Arial" w:eastAsia="Arial" w:hAnsi="Arial"/>
                <w:b w:val="false"/>
                <w:bCs w:val="false"/>
                <w:i w:val="false"/>
                <w:iCs w:val="false"/>
                <w:color w:val="1C0F2F"/>
                <w:sz w:val="17"/>
                <w:szCs w:val="17"/>
              </w:rPr>
              <w:t xml:space="preserve"/>
            </w:r>
          </w:p>
        </w:tc>
      </w:tr>
    </w:tbl>
    <w:sectPr>
      <w:footerReference w:type="default" r:id="rId8"/>
      <w:pgSz w:w="16838" w:h="11906" w:orient="landscape"/>
      <w:pgMar w:top="851" w:right="794" w:bottom="851" w:left="7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Text"/>
      <w:jc w:val="right"/>
    </w:pPr>
    <w:r>
      <w:rPr>
        <w:rFonts w:ascii="Arial" w:cs="Arial" w:eastAsia="Arial" w:hAnsi="Arial"/>
        <w:b w:val="false"/>
        <w:bCs w:val="false"/>
        <w:i w:val="false"/>
        <w:iCs w:val="false"/>
        <w:color w:val="5A5266"/>
        <w:sz w:val="16"/>
        <w:szCs w:val="16"/>
      </w:rPr>
      <w:t xml:space="preserve">ROOT by Aikyam website: open questions · Giraffe Partners for Aikyam · Page </w:t>
    </w:r>
    <w:r>
      <w:rPr>
        <w:rFonts w:ascii="Arial" w:cs="Arial" w:eastAsia="Arial" w:hAnsi="Arial"/>
        <w:color w:val="5A5266"/>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A5266"/>
        <w:sz w:val="16"/>
        <w:szCs w:val="16"/>
      </w:rPr>
      <w:t xml:space="preserve"> of </w:t>
    </w:r>
    <w:r>
      <w:rPr>
        <w:rFonts w:ascii="Arial" w:cs="Arial" w:eastAsia="Arial" w:hAnsi="Arial"/>
        <w:color w:val="5A52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Text"/>
      <w:jc w:val="right"/>
    </w:pPr>
    <w:r>
      <w:rPr>
        <w:rFonts w:ascii="Arial" w:cs="Arial" w:eastAsia="Arial" w:hAnsi="Arial"/>
        <w:b w:val="false"/>
        <w:bCs w:val="false"/>
        <w:i w:val="false"/>
        <w:iCs w:val="false"/>
        <w:color w:val="5A5266"/>
        <w:sz w:val="16"/>
        <w:szCs w:val="16"/>
      </w:rPr>
      <w:t xml:space="preserve">ROOT by Aikyam website: open questions · Giraffe Partners for Aikyam · Page </w:t>
    </w:r>
    <w:r>
      <w:rPr>
        <w:rFonts w:ascii="Arial" w:cs="Arial" w:eastAsia="Arial" w:hAnsi="Arial"/>
        <w:color w:val="5A5266"/>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A5266"/>
        <w:sz w:val="16"/>
        <w:szCs w:val="16"/>
      </w:rPr>
      <w:t xml:space="preserve"> of </w:t>
    </w:r>
    <w:r>
      <w:rPr>
        <w:rFonts w:ascii="Arial" w:cs="Arial" w:eastAsia="Arial" w:hAnsi="Arial"/>
        <w:color w:val="5A52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0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Text">
    <w:name w:val="Foot Text"/>
    <w:basedOn w:val="Normal"/>
    <w:rPr>
      <w:rFonts w:ascii="Arial" w:cs="Arial" w:eastAsia="Arial" w:hAnsi="Arial"/>
      <w:color w:val="5A52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by Aikyam website: open questions</dc:title>
  <dc:creator>Giraffe Partners</dc:creator>
  <dc:description>Open questions for Aikyam, 12 October 2026</dc:description>
  <cp:lastModifiedBy>Un-named</cp:lastModifiedBy>
  <cp:revision>1</cp:revision>
  <dcterms:created xsi:type="dcterms:W3CDTF">2026-10-12T13:54:29.044Z</dcterms:created>
  <dcterms:modified xsi:type="dcterms:W3CDTF">2026-10-12T13:54:29.044Z</dcterms:modified>
</cp:coreProperties>
</file>

<file path=docProps/custom.xml><?xml version="1.0" encoding="utf-8"?>
<Properties xmlns="http://schemas.openxmlformats.org/officeDocument/2006/custom-properties" xmlns:vt="http://schemas.openxmlformats.org/officeDocument/2006/docPropsVTypes"/>
</file>