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900" w:line="264"/>
      </w:pPr>
      <w:r>
        <w:rPr>
          <w:rFonts w:ascii="Arial" w:cs="Arial" w:eastAsia="Arial" w:hAnsi="Arial"/>
          <w:b/>
          <w:bCs/>
          <w:i w:val="false"/>
          <w:iCs w:val="false"/>
          <w:color w:val="1C0F2F"/>
          <w:sz w:val="44"/>
          <w:szCs w:val="44"/>
        </w:rPr>
        <w:t xml:space="preserve">ROOT by Aikyam website: open questions</w:t>
      </w:r>
    </w:p>
    <w:p>
      <w:pPr>
        <w:pBdr>
          <w:bottom w:val="single" w:color="C19C2F" w:sz="12" w:space="8"/>
        </w:pBdr>
        <w:spacing w:after="160" w:before="0" w:line="264"/>
      </w:pPr>
      <w:r>
        <w:rPr>
          <w:rFonts w:ascii="Arial" w:cs="Arial" w:eastAsia="Arial" w:hAnsi="Arial"/>
          <w:b w:val="false"/>
          <w:bCs w:val="false"/>
          <w:i w:val="false"/>
          <w:iCs w:val="false"/>
          <w:color w:val="5A5266"/>
          <w:sz w:val="24"/>
          <w:szCs w:val="24"/>
        </w:rPr>
        <w:t xml:space="preserve">Prepared by Giraffe Partners for Aikyam · 13 October 2026 (update 2)</w:t>
      </w:r>
    </w:p>
    <w:p>
      <w:pPr>
        <w:shd w:fill="FBF6E6" w:color="auto" w:val="clear"/>
        <w:spacing w:after="100" w:before="240" w:line="300"/>
      </w:pPr>
      <w:r>
        <w:rPr>
          <w:rFonts w:ascii="Arial" w:cs="Arial" w:eastAsia="Arial" w:hAnsi="Arial"/>
          <w:b/>
          <w:bCs/>
          <w:i w:val="false"/>
          <w:iCs w:val="false"/>
          <w:color w:val="1C0F2F"/>
          <w:sz w:val="21"/>
          <w:szCs w:val="21"/>
        </w:rPr>
        <w:t xml:space="preserve">What changed: </w:t>
      </w:r>
      <w:r>
        <w:rPr>
          <w:rFonts w:ascii="Arial" w:cs="Arial" w:eastAsia="Arial" w:hAnsi="Arial"/>
          <w:b w:val="false"/>
          <w:bCs w:val="false"/>
          <w:i w:val="false"/>
          <w:iCs w:val="false"/>
          <w:color w:val="1C0F2F"/>
          <w:sz w:val="21"/>
          <w:szCs w:val="21"/>
        </w:rPr>
        <w:t xml:space="preserve">15 new questions from the eight latest page designs (Trade, About, Grievance Redressal, Scheme Detail, SIP Calculator, PMS, Distributor Partner Programme and the Getting Started guide) are marked "New". 21 earlier questions marked "Updated" have new parts, each tagged "New". The Getting Started guide now launches on 2 Nov.</w:t>
      </w:r>
    </w:p>
    <w:p>
      <w:pPr>
        <w:spacing w:after="100" w:before="160" w:line="300"/>
      </w:pPr>
      <w:r>
        <w:rPr>
          <w:rFonts w:ascii="Arial" w:cs="Arial" w:eastAsia="Arial" w:hAnsi="Arial"/>
          <w:b w:val="false"/>
          <w:bCs w:val="false"/>
          <w:i w:val="false"/>
          <w:iCs w:val="false"/>
          <w:color w:val="1C0F2F"/>
          <w:sz w:val="21"/>
          <w:szCs w:val="21"/>
        </w:rPr>
        <w:t xml:space="preserve">This document lists the questions we need Aikyam to answer for the new ROOT by Aikyam website.</w:t>
      </w:r>
    </w:p>
    <w:p>
      <w:pPr>
        <w:spacing w:after="100" w:before="0" w:line="300"/>
      </w:pPr>
      <w:r>
        <w:rPr>
          <w:rFonts w:ascii="Arial" w:cs="Arial" w:eastAsia="Arial" w:hAnsi="Arial"/>
          <w:b w:val="false"/>
          <w:bCs w:val="false"/>
          <w:i w:val="false"/>
          <w:iCs w:val="false"/>
          <w:color w:val="1C0F2F"/>
          <w:sz w:val="21"/>
          <w:szCs w:val="21"/>
        </w:rPr>
        <w:t xml:space="preserve">The design continues with the defaults shown for each question, so nothing waits on an answer.</w:t>
      </w:r>
    </w:p>
    <w:p>
      <w:pPr>
        <w:spacing w:after="100" w:before="0" w:line="300"/>
      </w:pPr>
      <w:r>
        <w:rPr>
          <w:rFonts w:ascii="Arial" w:cs="Arial" w:eastAsia="Arial" w:hAnsi="Arial"/>
          <w:b w:val="false"/>
          <w:bCs w:val="false"/>
          <w:i w:val="false"/>
          <w:iCs w:val="false"/>
          <w:color w:val="1C0F2F"/>
          <w:sz w:val="21"/>
          <w:szCs w:val="21"/>
        </w:rPr>
        <w:t xml:space="preserve">Each answer is applied across every page at once, so one reply settles the point everywhere.</w:t>
      </w:r>
    </w:p>
    <w:p>
      <w:pPr>
        <w:spacing w:after="100" w:before="0" w:line="300"/>
      </w:pPr>
      <w:r>
        <w:rPr>
          <w:rFonts w:ascii="Arial" w:cs="Arial" w:eastAsia="Arial" w:hAnsi="Arial"/>
          <w:b w:val="false"/>
          <w:bCs w:val="false"/>
          <w:i w:val="false"/>
          <w:iCs w:val="false"/>
          <w:color w:val="1C0F2F"/>
          <w:sz w:val="21"/>
          <w:szCs w:val="21"/>
        </w:rPr>
        <w:t xml:space="preserve">Please answer inline, in the Answer column. Where a question has parts (a), (b), (c), please answer each part.</w:t>
      </w:r>
    </w:p>
    <w:p>
      <w:pPr>
        <w:spacing w:after="100" w:before="0" w:line="300"/>
      </w:pPr>
      <w:r>
        <w:rPr>
          <w:rFonts w:ascii="Arial" w:cs="Arial" w:eastAsia="Arial" w:hAnsi="Arial"/>
          <w:b w:val="false"/>
          <w:bCs w:val="false"/>
          <w:i w:val="false"/>
          <w:iCs w:val="false"/>
          <w:color w:val="1C0F2F"/>
          <w:sz w:val="21"/>
          <w:szCs w:val="21"/>
        </w:rPr>
        <w:t xml:space="preserve">Items marked "Before 2 Nov launch" come first. The twelve that block the launch are listed under Top priority.</w:t>
      </w:r>
    </w:p>
    <w:p>
      <w:pPr>
        <w:spacing w:after="80" w:before="280" w:line="264"/>
      </w:pPr>
      <w:r>
        <w:rPr>
          <w:rFonts w:ascii="Arial" w:cs="Arial" w:eastAsia="Arial" w:hAnsi="Arial"/>
          <w:b/>
          <w:bCs/>
          <w:i w:val="false"/>
          <w:iCs w:val="false"/>
          <w:color w:val="1C0F2F"/>
          <w:sz w:val="22"/>
          <w:szCs w:val="22"/>
        </w:rPr>
        <w:t xml:space="preserve">How to read each question</w:t>
      </w:r>
    </w:p>
    <w:p>
      <w:pPr>
        <w:spacing w:after="50" w:before="0" w:line="264"/>
      </w:pPr>
      <w:r>
        <w:rPr>
          <w:rFonts w:ascii="Arial" w:cs="Arial" w:eastAsia="Arial" w:hAnsi="Arial"/>
          <w:b/>
          <w:bCs/>
          <w:i w:val="false"/>
          <w:iCs w:val="false"/>
          <w:color w:val="1C0F2F"/>
          <w:sz w:val="19"/>
          <w:szCs w:val="19"/>
        </w:rPr>
        <w:t xml:space="preserve">Meanwhile, the pages show: </w:t>
      </w:r>
      <w:r>
        <w:rPr>
          <w:rFonts w:ascii="Arial" w:cs="Arial" w:eastAsia="Arial" w:hAnsi="Arial"/>
          <w:b w:val="false"/>
          <w:bCs w:val="false"/>
          <w:i w:val="false"/>
          <w:iCs w:val="false"/>
          <w:color w:val="1C0F2F"/>
          <w:sz w:val="19"/>
          <w:szCs w:val="19"/>
        </w:rPr>
        <w:t xml:space="preserve">the default the draft pages use until you answer.</w:t>
      </w:r>
    </w:p>
    <w:p>
      <w:pPr>
        <w:spacing w:after="50" w:before="0" w:line="264"/>
      </w:pPr>
      <w:r>
        <w:rPr>
          <w:rFonts w:ascii="Arial" w:cs="Arial" w:eastAsia="Arial" w:hAnsi="Arial"/>
          <w:b/>
          <w:bCs/>
          <w:i w:val="false"/>
          <w:iCs w:val="false"/>
          <w:color w:val="1C0F2F"/>
          <w:sz w:val="19"/>
          <w:szCs w:val="19"/>
        </w:rPr>
        <w:t xml:space="preserve">Ref: </w:t>
      </w:r>
      <w:r>
        <w:rPr>
          <w:rFonts w:ascii="Arial" w:cs="Arial" w:eastAsia="Arial" w:hAnsi="Arial"/>
          <w:b w:val="false"/>
          <w:bCs w:val="false"/>
          <w:i w:val="false"/>
          <w:iCs w:val="false"/>
          <w:color w:val="1C0F2F"/>
          <w:sz w:val="19"/>
          <w:szCs w:val="19"/>
        </w:rPr>
        <w:t xml:space="preserve">the number in the Placeholder Register we shared earlier, where the point was raised before.</w:t>
      </w:r>
    </w:p>
    <w:p>
      <w:pPr>
        <w:spacing w:after="50" w:before="0" w:line="264"/>
      </w:pPr>
      <w:r>
        <w:rPr>
          <w:rFonts w:ascii="Arial" w:cs="Arial" w:eastAsia="Arial" w:hAnsi="Arial"/>
          <w:b/>
          <w:bCs/>
          <w:i w:val="false"/>
          <w:iCs w:val="false"/>
          <w:color w:val="1C0F2F"/>
          <w:sz w:val="19"/>
          <w:szCs w:val="19"/>
        </w:rPr>
        <w:t xml:space="preserve">Priority: </w:t>
      </w:r>
      <w:r>
        <w:rPr>
          <w:rFonts w:ascii="Arial" w:cs="Arial" w:eastAsia="Arial" w:hAnsi="Arial"/>
          <w:b w:val="false"/>
          <w:bCs w:val="false"/>
          <w:i w:val="false"/>
          <w:iCs w:val="false"/>
          <w:color w:val="1C0F2F"/>
          <w:sz w:val="19"/>
          <w:szCs w:val="19"/>
        </w:rPr>
        <w:t xml:space="preserve">"Before 2 Nov launch" for Phase 1 pages, "Before 8 Dec" for Phase 2, "Before 13 Jan" for Phase 3.</w:t>
      </w:r>
    </w:p>
    <w:p>
      <w:pPr>
        <w:spacing w:after="240" w:before="0" w:line="264"/>
      </w:pP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9"/>
          <w:szCs w:val="19"/>
        </w:rPr>
        <w:t xml:space="preserve"> and </w:t>
      </w:r>
      <w:r>
        <w:rPr>
          <w:rFonts w:ascii="Arial" w:cs="Arial" w:eastAsia="Arial" w:hAnsi="Arial"/>
          <w:b/>
          <w:bCs/>
          <w:color w:val="1C0F2F"/>
          <w:sz w:val="14"/>
          <w:szCs w:val="14"/>
          <w:shd w:fill="E4DDEC" w:color="auto" w:val="clear"/>
        </w:rPr>
        <w:t xml:space="preserve"> Updated </w:t>
      </w:r>
      <w:r>
        <w:rPr>
          <w:rFonts w:ascii="Arial" w:cs="Arial" w:eastAsia="Arial" w:hAnsi="Arial"/>
          <w:b w:val="false"/>
          <w:bCs w:val="false"/>
          <w:i w:val="false"/>
          <w:iCs w:val="false"/>
          <w:color w:val="1C0F2F"/>
          <w:sz w:val="19"/>
          <w:szCs w:val="19"/>
        </w:rPr>
        <w:t xml:space="preserve">: a question added in this update, or an earlier question with new parts. Pages affected also lists the new pages wherever they raise a point already asked.</w:t>
      </w:r>
    </w:p>
    <w:p>
      <w:pPr>
        <w:keepNext/>
        <w:spacing w:after="120" w:before="0" w:line="264"/>
      </w:pPr>
      <w:r>
        <w:rPr>
          <w:rFonts w:ascii="Arial" w:cs="Arial" w:eastAsia="Arial" w:hAnsi="Arial"/>
          <w:b/>
          <w:bCs/>
          <w:i w:val="false"/>
          <w:iCs w:val="false"/>
          <w:color w:val="1C0F2F"/>
          <w:sz w:val="26"/>
          <w:szCs w:val="26"/>
        </w:rPr>
        <w:t xml:space="preserve">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1450"/>
        <w:gridCol w:w="1250"/>
        <w:gridCol w:w="1250"/>
        <w:gridCol w:w="1200"/>
        <w:gridCol w:w="1250"/>
      </w:tblGrid>
      <w:tr>
        <w:trPr>
          <w:tblHeader/>
        </w:trPr>
        <w:tc>
          <w:tcPr>
            <w:tcW w:type="dxa" w:w="3238"/>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Who at Aikyam answers</w:t>
            </w:r>
          </w:p>
        </w:tc>
        <w:tc>
          <w:tcPr>
            <w:tcW w:type="dxa" w:w="145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Before 2 Nov launch</w:t>
            </w:r>
          </w:p>
        </w:tc>
        <w:tc>
          <w:tcPr>
            <w:tcW w:type="dxa" w:w="125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Before 8 Dec</w:t>
            </w:r>
          </w:p>
        </w:tc>
        <w:tc>
          <w:tcPr>
            <w:tcW w:type="dxa" w:w="125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Before 13 Jan</w:t>
            </w:r>
          </w:p>
        </w:tc>
        <w:tc>
          <w:tcPr>
            <w:tcW w:type="dxa" w:w="12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Total</w:t>
            </w:r>
          </w:p>
        </w:tc>
        <w:tc>
          <w:tcPr>
            <w:tcW w:type="dxa" w:w="125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New in this update</w:t>
            </w:r>
          </w:p>
        </w:tc>
      </w:tr>
      <w:tr>
        <w:tc>
          <w:tcPr>
            <w:tcW w:type="dxa" w:w="32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Compliance officer (C)</w:t>
            </w:r>
          </w:p>
        </w:tc>
        <w:tc>
          <w:tcPr>
            <w:tcW w:type="dxa" w:w="14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15</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3</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2</w:t>
            </w:r>
          </w:p>
        </w:tc>
        <w:tc>
          <w:tcPr>
            <w:tcW w:type="dxa" w:w="12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bCs/>
                <w:i w:val="false"/>
                <w:iCs w:val="false"/>
                <w:color w:val="1C0F2F"/>
                <w:sz w:val="19"/>
                <w:szCs w:val="19"/>
              </w:rPr>
              <w:t xml:space="preserve">20</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7</w:t>
            </w:r>
          </w:p>
        </w:tc>
      </w:tr>
      <w:tr>
        <w:tc>
          <w:tcPr>
            <w:tcW w:type="dxa" w:w="32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Broking business head (B)</w:t>
            </w:r>
          </w:p>
        </w:tc>
        <w:tc>
          <w:tcPr>
            <w:tcW w:type="dxa" w:w="14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6</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0</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0</w:t>
            </w:r>
          </w:p>
        </w:tc>
        <w:tc>
          <w:tcPr>
            <w:tcW w:type="dxa" w:w="12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bCs/>
                <w:i w:val="false"/>
                <w:iCs w:val="false"/>
                <w:color w:val="1C0F2F"/>
                <w:sz w:val="19"/>
                <w:szCs w:val="19"/>
              </w:rPr>
              <w:t xml:space="preserve">6</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1</w:t>
            </w:r>
          </w:p>
        </w:tc>
      </w:tr>
      <w:tr>
        <w:tc>
          <w:tcPr>
            <w:tcW w:type="dxa" w:w="32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Wealth business head (W)</w:t>
            </w:r>
          </w:p>
        </w:tc>
        <w:tc>
          <w:tcPr>
            <w:tcW w:type="dxa" w:w="14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4</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1</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5</w:t>
            </w:r>
          </w:p>
        </w:tc>
        <w:tc>
          <w:tcPr>
            <w:tcW w:type="dxa" w:w="12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bCs/>
                <w:i w:val="false"/>
                <w:iCs w:val="false"/>
                <w:color w:val="1C0F2F"/>
                <w:sz w:val="19"/>
                <w:szCs w:val="19"/>
              </w:rPr>
              <w:t xml:space="preserve">10</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5</w:t>
            </w:r>
          </w:p>
        </w:tc>
      </w:tr>
      <w:tr>
        <w:tc>
          <w:tcPr>
            <w:tcW w:type="dxa" w:w="32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Technology and KYC partner (T)</w:t>
            </w:r>
          </w:p>
        </w:tc>
        <w:tc>
          <w:tcPr>
            <w:tcW w:type="dxa" w:w="14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5</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2</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0</w:t>
            </w:r>
          </w:p>
        </w:tc>
        <w:tc>
          <w:tcPr>
            <w:tcW w:type="dxa" w:w="12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bCs/>
                <w:i w:val="false"/>
                <w:iCs w:val="false"/>
                <w:color w:val="1C0F2F"/>
                <w:sz w:val="19"/>
                <w:szCs w:val="19"/>
              </w:rPr>
              <w:t xml:space="preserve">7</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1</w:t>
            </w:r>
          </w:p>
        </w:tc>
      </w:tr>
      <w:tr>
        <w:tc>
          <w:tcPr>
            <w:tcW w:type="dxa" w:w="32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Product and client relations (P)</w:t>
            </w:r>
          </w:p>
        </w:tc>
        <w:tc>
          <w:tcPr>
            <w:tcW w:type="dxa" w:w="14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7</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0</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0</w:t>
            </w:r>
          </w:p>
        </w:tc>
        <w:tc>
          <w:tcPr>
            <w:tcW w:type="dxa" w:w="12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bCs/>
                <w:i w:val="false"/>
                <w:iCs w:val="false"/>
                <w:color w:val="1C0F2F"/>
                <w:sz w:val="19"/>
                <w:szCs w:val="19"/>
              </w:rPr>
              <w:t xml:space="preserve">7</w:t>
            </w:r>
          </w:p>
        </w:tc>
        <w:tc>
          <w:tcPr>
            <w:tcW w:type="dxa" w:w="125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jc w:val="center"/>
            </w:pPr>
            <w:r>
              <w:rPr>
                <w:rFonts w:ascii="Arial" w:cs="Arial" w:eastAsia="Arial" w:hAnsi="Arial"/>
                <w:b w:val="false"/>
                <w:bCs w:val="false"/>
                <w:i w:val="false"/>
                <w:iCs w:val="false"/>
                <w:color w:val="1C0F2F"/>
                <w:sz w:val="19"/>
                <w:szCs w:val="19"/>
              </w:rPr>
              <w:t xml:space="preserve">1</w:t>
            </w:r>
          </w:p>
        </w:tc>
      </w:tr>
      <w:tr>
        <w:tc>
          <w:tcPr>
            <w:tcW w:type="dxa" w:w="3238"/>
            <w:tcBorders>
              <w:top w:val="single" w:color="C9C2D3" w:sz="4"/>
              <w:left w:val="single" w:color="C9C2D3" w:sz="4"/>
              <w:bottom w:val="single" w:color="C9C2D3" w:sz="4"/>
              <w:right w:val="single" w:color="C9C2D3" w:sz="4"/>
            </w:tcBorders>
            <w:shd w:fill="F1EEF5" w:color="auto" w:val="clear"/>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9"/>
                <w:szCs w:val="19"/>
              </w:rPr>
              <w:t xml:space="preserve">All questions</w:t>
            </w:r>
          </w:p>
        </w:tc>
        <w:tc>
          <w:tcPr>
            <w:tcW w:type="dxa" w:w="1450"/>
            <w:tcBorders>
              <w:top w:val="single" w:color="C9C2D3" w:sz="4"/>
              <w:left w:val="single" w:color="C9C2D3" w:sz="4"/>
              <w:bottom w:val="single" w:color="C9C2D3" w:sz="4"/>
              <w:right w:val="single" w:color="C9C2D3" w:sz="4"/>
            </w:tcBorders>
            <w:shd w:fill="F1EEF5" w:color="auto" w:val="clear"/>
            <w:tcMar>
              <w:top w:type="dxa" w:w="70"/>
              <w:left w:type="dxa" w:w="90"/>
              <w:bottom w:type="dxa" w:w="70"/>
              <w:right w:type="dxa" w:w="90"/>
            </w:tcMar>
            <w:vAlign w:val="top"/>
          </w:tcPr>
          <w:p>
            <w:pPr>
              <w:spacing w:after="0" w:before="0" w:line="264"/>
              <w:jc w:val="center"/>
            </w:pPr>
            <w:r>
              <w:rPr>
                <w:rFonts w:ascii="Arial" w:cs="Arial" w:eastAsia="Arial" w:hAnsi="Arial"/>
                <w:b/>
                <w:bCs/>
                <w:i w:val="false"/>
                <w:iCs w:val="false"/>
                <w:color w:val="1C0F2F"/>
                <w:sz w:val="19"/>
                <w:szCs w:val="19"/>
              </w:rPr>
              <w:t xml:space="preserve">37</w:t>
            </w:r>
          </w:p>
        </w:tc>
        <w:tc>
          <w:tcPr>
            <w:tcW w:type="dxa" w:w="1250"/>
            <w:tcBorders>
              <w:top w:val="single" w:color="C9C2D3" w:sz="4"/>
              <w:left w:val="single" w:color="C9C2D3" w:sz="4"/>
              <w:bottom w:val="single" w:color="C9C2D3" w:sz="4"/>
              <w:right w:val="single" w:color="C9C2D3" w:sz="4"/>
            </w:tcBorders>
            <w:shd w:fill="F1EEF5" w:color="auto" w:val="clear"/>
            <w:tcMar>
              <w:top w:type="dxa" w:w="70"/>
              <w:left w:type="dxa" w:w="90"/>
              <w:bottom w:type="dxa" w:w="70"/>
              <w:right w:type="dxa" w:w="90"/>
            </w:tcMar>
            <w:vAlign w:val="top"/>
          </w:tcPr>
          <w:p>
            <w:pPr>
              <w:spacing w:after="0" w:before="0" w:line="264"/>
              <w:jc w:val="center"/>
            </w:pPr>
            <w:r>
              <w:rPr>
                <w:rFonts w:ascii="Arial" w:cs="Arial" w:eastAsia="Arial" w:hAnsi="Arial"/>
                <w:b/>
                <w:bCs/>
                <w:i w:val="false"/>
                <w:iCs w:val="false"/>
                <w:color w:val="1C0F2F"/>
                <w:sz w:val="19"/>
                <w:szCs w:val="19"/>
              </w:rPr>
              <w:t xml:space="preserve">6</w:t>
            </w:r>
          </w:p>
        </w:tc>
        <w:tc>
          <w:tcPr>
            <w:tcW w:type="dxa" w:w="1250"/>
            <w:tcBorders>
              <w:top w:val="single" w:color="C9C2D3" w:sz="4"/>
              <w:left w:val="single" w:color="C9C2D3" w:sz="4"/>
              <w:bottom w:val="single" w:color="C9C2D3" w:sz="4"/>
              <w:right w:val="single" w:color="C9C2D3" w:sz="4"/>
            </w:tcBorders>
            <w:shd w:fill="F1EEF5" w:color="auto" w:val="clear"/>
            <w:tcMar>
              <w:top w:type="dxa" w:w="70"/>
              <w:left w:type="dxa" w:w="90"/>
              <w:bottom w:type="dxa" w:w="70"/>
              <w:right w:type="dxa" w:w="90"/>
            </w:tcMar>
            <w:vAlign w:val="top"/>
          </w:tcPr>
          <w:p>
            <w:pPr>
              <w:spacing w:after="0" w:before="0" w:line="264"/>
              <w:jc w:val="center"/>
            </w:pPr>
            <w:r>
              <w:rPr>
                <w:rFonts w:ascii="Arial" w:cs="Arial" w:eastAsia="Arial" w:hAnsi="Arial"/>
                <w:b/>
                <w:bCs/>
                <w:i w:val="false"/>
                <w:iCs w:val="false"/>
                <w:color w:val="1C0F2F"/>
                <w:sz w:val="19"/>
                <w:szCs w:val="19"/>
              </w:rPr>
              <w:t xml:space="preserve">7</w:t>
            </w:r>
          </w:p>
        </w:tc>
        <w:tc>
          <w:tcPr>
            <w:tcW w:type="dxa" w:w="1200"/>
            <w:tcBorders>
              <w:top w:val="single" w:color="C9C2D3" w:sz="4"/>
              <w:left w:val="single" w:color="C9C2D3" w:sz="4"/>
              <w:bottom w:val="single" w:color="C9C2D3" w:sz="4"/>
              <w:right w:val="single" w:color="C9C2D3" w:sz="4"/>
            </w:tcBorders>
            <w:shd w:fill="F1EEF5" w:color="auto" w:val="clear"/>
            <w:tcMar>
              <w:top w:type="dxa" w:w="70"/>
              <w:left w:type="dxa" w:w="90"/>
              <w:bottom w:type="dxa" w:w="70"/>
              <w:right w:type="dxa" w:w="90"/>
            </w:tcMar>
            <w:vAlign w:val="top"/>
          </w:tcPr>
          <w:p>
            <w:pPr>
              <w:spacing w:after="0" w:before="0" w:line="264"/>
              <w:jc w:val="center"/>
            </w:pPr>
            <w:r>
              <w:rPr>
                <w:rFonts w:ascii="Arial" w:cs="Arial" w:eastAsia="Arial" w:hAnsi="Arial"/>
                <w:b/>
                <w:bCs/>
                <w:i w:val="false"/>
                <w:iCs w:val="false"/>
                <w:color w:val="1C0F2F"/>
                <w:sz w:val="19"/>
                <w:szCs w:val="19"/>
              </w:rPr>
              <w:t xml:space="preserve">50</w:t>
            </w:r>
          </w:p>
        </w:tc>
        <w:tc>
          <w:tcPr>
            <w:tcW w:type="dxa" w:w="1250"/>
            <w:tcBorders>
              <w:top w:val="single" w:color="C9C2D3" w:sz="4"/>
              <w:left w:val="single" w:color="C9C2D3" w:sz="4"/>
              <w:bottom w:val="single" w:color="C9C2D3" w:sz="4"/>
              <w:right w:val="single" w:color="C9C2D3" w:sz="4"/>
            </w:tcBorders>
            <w:shd w:fill="F1EEF5" w:color="auto" w:val="clear"/>
            <w:tcMar>
              <w:top w:type="dxa" w:w="70"/>
              <w:left w:type="dxa" w:w="90"/>
              <w:bottom w:type="dxa" w:w="70"/>
              <w:right w:type="dxa" w:w="90"/>
            </w:tcMar>
            <w:vAlign w:val="top"/>
          </w:tcPr>
          <w:p>
            <w:pPr>
              <w:spacing w:after="0" w:before="0" w:line="264"/>
              <w:jc w:val="center"/>
            </w:pPr>
            <w:r>
              <w:rPr>
                <w:rFonts w:ascii="Arial" w:cs="Arial" w:eastAsia="Arial" w:hAnsi="Arial"/>
                <w:b/>
                <w:bCs/>
                <w:i w:val="false"/>
                <w:iCs w:val="false"/>
                <w:color w:val="1C0F2F"/>
                <w:sz w:val="19"/>
                <w:szCs w:val="19"/>
              </w:rPr>
              <w:t xml:space="preserve">15</w:t>
            </w:r>
          </w:p>
        </w:tc>
      </w:tr>
    </w:tbl>
    <w:p>
      <w:pPr>
        <w:spacing w:after="60" w:before="100" w:line="264"/>
      </w:pPr>
      <w:r>
        <w:rPr>
          <w:rFonts w:ascii="Arial" w:cs="Arial" w:eastAsia="Arial" w:hAnsi="Arial"/>
          <w:b w:val="false"/>
          <w:bCs w:val="false"/>
          <w:i/>
          <w:iCs/>
          <w:color w:val="5A5266"/>
          <w:sz w:val="18"/>
          <w:szCs w:val="18"/>
        </w:rPr>
        <w:t xml:space="preserve">Questions are grouped by the role at Aikyam best placed to answer. A few parts note where a second role should join.</w:t>
      </w:r>
    </w:p>
    <w:p>
      <w:pPr>
        <w:spacing w:after="60" w:before="0" w:line="264"/>
      </w:pPr>
      <w:r>
        <w:br w:type="page"/>
      </w:r>
    </w:p>
    <w:p>
      <w:pPr>
        <w:spacing w:after="100" w:before="0" w:line="264"/>
      </w:pPr>
      <w:r>
        <w:rPr>
          <w:rFonts w:ascii="Arial" w:cs="Arial" w:eastAsia="Arial" w:hAnsi="Arial"/>
          <w:b/>
          <w:bCs/>
          <w:i w:val="false"/>
          <w:iCs w:val="false"/>
          <w:color w:val="1C0F2F"/>
          <w:sz w:val="30"/>
          <w:szCs w:val="30"/>
        </w:rPr>
        <w:t xml:space="preserve">Top priority: answers needed for the 2 Nov launch</w:t>
      </w:r>
    </w:p>
    <w:p>
      <w:pPr>
        <w:spacing w:after="200" w:before="0" w:line="290"/>
      </w:pPr>
      <w:r>
        <w:rPr>
          <w:rFonts w:ascii="Arial" w:cs="Arial" w:eastAsia="Arial" w:hAnsi="Arial"/>
          <w:b w:val="false"/>
          <w:bCs w:val="false"/>
          <w:i w:val="false"/>
          <w:iCs w:val="false"/>
          <w:color w:val="1C0F2F"/>
          <w:sz w:val="20"/>
          <w:szCs w:val="20"/>
        </w:rPr>
        <w:t xml:space="preserve">These twelve questions block the launch. Each also appears in full, with its default and an Answer cell, in its group.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600"/>
        <w:gridCol w:w="3638"/>
        <w:gridCol w:w="1500"/>
      </w:tblGrid>
      <w:tr>
        <w:trPr>
          <w:tblHeader/>
        </w:trPr>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ID</w:t>
            </w:r>
          </w:p>
        </w:tc>
        <w:tc>
          <w:tcPr>
            <w:tcW w:type="dxa" w:w="36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Question</w:t>
            </w:r>
          </w:p>
        </w:tc>
        <w:tc>
          <w:tcPr>
            <w:tcW w:type="dxa" w:w="3638"/>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Why it blocks the launch</w:t>
            </w:r>
          </w:p>
        </w:tc>
        <w:tc>
          <w:tcPr>
            <w:tcW w:type="dxa" w:w="15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Who answers</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C1</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Aikyam Wealth ARN, CIN and registered office</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The ARN must appear wherever mutual funds are offered.</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Compliance officer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C3</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F&amp;O risk disclosure: current text and placement</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Home, Start Trading and Trade cannot go live with unconfirmed text.</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Compliance officer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C4</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Consent and fine print on account-opening forms</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No form may collect a number without approved consent.</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Compliance officer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C5</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Terms and Privacy Policy: entity clause and dates</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Both go live on 2 Nov. The live Terms tie broking clauses to Aikyam Wealth.</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Compliance officer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C6</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Sign-off on the regulatory footer</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The footer is on every page and is marked "Wait for Confirmation".</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Compliance officer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C7</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IPO distributor line for Aikyam Capital</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Home, Trade and the Getting Started guide offer IPOs without a line naming the company.</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Compliance officer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C8</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Exchange filing for the launch pages</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The filing window sets the copy freeze date.</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Compliance officer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C10</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Grievance officers, contacts and the first address for complaints</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Grievance Redressal is a mandatory page and cannot go live without the officers and the routes.</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Compliance officer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C14</w:t>
            </w:r>
          </w:p>
          <w:p>
            <w:pPr>
              <w:spacing w:after="0" w:before="0" w:line="264"/>
            </w:pPr>
            <w:r>
              <w:rPr>
                <w:rFonts w:ascii="Arial" w:cs="Arial" w:eastAsia="Arial" w:hAnsi="Arial"/>
                <w:b/>
                <w:bCs/>
                <w:color w:val="1C0F2F"/>
                <w:sz w:val="14"/>
                <w:szCs w:val="14"/>
                <w:shd w:fill="F6E9C0" w:color="auto" w:val="clear"/>
              </w:rPr>
              <w:t xml:space="preserve"> New </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Complaint times, charges and the Grievance Redressal Policy</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The grievance page cannot state times, costs or the official procedure without your text.</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Compliance officer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B1</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₹0 account opening and the rate card</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The "Open free account" button, Pricing and the charges on Trade depend on it.</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Broking business head</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B4</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IPO applications at launch</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The main headings on Home, Start Trading and Trade name IPOs.</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Broking business head</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9"/>
                <w:szCs w:val="19"/>
              </w:rPr>
              <w:t xml:space="preserve">T3</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3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What happens after "Get OTP"</w:t>
            </w:r>
          </w:p>
        </w:tc>
        <w:tc>
          <w:tcPr>
            <w:tcW w:type="dxa" w:w="3638"/>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9"/>
                <w:szCs w:val="19"/>
              </w:rPr>
              <w:t xml:space="preserve">Forms cannot go live without a confirmed hand-off to KYC.</w:t>
            </w:r>
          </w:p>
        </w:tc>
        <w:tc>
          <w:tcPr>
            <w:tcW w:type="dxa" w:w="15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8"/>
                <w:szCs w:val="18"/>
              </w:rPr>
              <w:t xml:space="preserve">Technology and KYC partner</w:t>
            </w:r>
          </w:p>
        </w:tc>
      </w:tr>
    </w:tbl>
    <w:p>
      <w:pPr>
        <w:sectPr>
          <w:footerReference w:type="default" r:id="rId7"/>
          <w:pgSz w:w="11906" w:h="16838" w:orient="portrait"/>
          <w:pgMar w:top="1134" w:right="1134" w:bottom="1134" w:left="1134" w:header="708" w:footer="708" w:gutter="0"/>
          <w:pgNumType/>
          <w:docGrid w:linePitch="360"/>
        </w:sectPr>
      </w:pPr>
    </w:p>
    <w:p>
      <w:pPr>
        <w:keepNext/>
        <w:spacing w:after="60" w:before="0" w:line="264"/>
      </w:pPr>
      <w:r>
        <w:rPr>
          <w:rFonts w:ascii="Arial" w:cs="Arial" w:eastAsia="Arial" w:hAnsi="Arial"/>
          <w:b/>
          <w:bCs/>
          <w:i w:val="false"/>
          <w:iCs w:val="false"/>
          <w:color w:val="1C0F2F"/>
          <w:sz w:val="28"/>
          <w:szCs w:val="28"/>
        </w:rPr>
        <w:t xml:space="preserve">Compliance officer (C1 to C20)</w:t>
      </w:r>
    </w:p>
    <w:p>
      <w:pPr>
        <w:keepNext/>
        <w:spacing w:after="160" w:before="0" w:line="264"/>
      </w:pPr>
      <w:r>
        <w:rPr>
          <w:rFonts w:ascii="Arial" w:cs="Arial" w:eastAsia="Arial" w:hAnsi="Arial"/>
          <w:b w:val="false"/>
          <w:bCs w:val="false"/>
          <w:i w:val="false"/>
          <w:iCs w:val="false"/>
          <w:color w:val="5A5266"/>
          <w:sz w:val="19"/>
          <w:szCs w:val="19"/>
        </w:rPr>
        <w:t xml:space="preserve">Registrations, mandatory disclosures, legal text and the wording of every form.</w:t>
      </w:r>
    </w:p>
    <w:tbl>
      <w:tblPr>
        <w:tblW w:type="dxa" w:w="152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560"/>
        <w:gridCol w:w="1700"/>
        <w:gridCol w:w="2300"/>
        <w:gridCol w:w="1800"/>
        <w:gridCol w:w="600"/>
        <w:gridCol w:w="900"/>
        <w:gridCol w:w="2490"/>
      </w:tblGrid>
      <w:tr>
        <w:trPr>
          <w:tblHeader/>
        </w:trPr>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ID</w:t>
            </w:r>
          </w:p>
        </w:tc>
        <w:tc>
          <w:tcPr>
            <w:tcW w:type="dxa" w:w="456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Question</w:t>
            </w:r>
          </w:p>
        </w:tc>
        <w:tc>
          <w:tcPr>
            <w:tcW w:type="dxa" w:w="17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Why it matters</w:t>
            </w:r>
          </w:p>
        </w:tc>
        <w:tc>
          <w:tcPr>
            <w:tcW w:type="dxa" w:w="23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Meanwhile, the pages show</w:t>
            </w:r>
          </w:p>
        </w:tc>
        <w:tc>
          <w:tcPr>
            <w:tcW w:type="dxa" w:w="18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Pages affected</w:t>
            </w:r>
          </w:p>
        </w:tc>
        <w:tc>
          <w:tcPr>
            <w:tcW w:type="dxa" w:w="6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Ref</w:t>
            </w:r>
          </w:p>
        </w:tc>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Priority</w:t>
            </w:r>
          </w:p>
        </w:tc>
        <w:tc>
          <w:tcPr>
            <w:tcW w:type="dxa" w:w="249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Answer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Aikyam Wealth registration details</w:t>
            </w:r>
          </w:p>
          <w:p>
            <w:pPr>
              <w:spacing w:after="50" w:before="0" w:line="264"/>
            </w:pPr>
            <w:r>
              <w:rPr>
                <w:rFonts w:ascii="Arial" w:cs="Arial" w:eastAsia="Arial" w:hAnsi="Arial"/>
                <w:b w:val="false"/>
                <w:bCs w:val="false"/>
                <w:i w:val="false"/>
                <w:iCs w:val="false"/>
                <w:color w:val="1C0F2F"/>
                <w:sz w:val="17"/>
                <w:szCs w:val="17"/>
              </w:rPr>
              <w:t xml:space="preserve">Please share these details for Aikyam Wealth Private Limited:</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AMFI ARN, written exactly as it should appear (with or without the "ARN-" prefix).</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CIN.</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Registered office address.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ARN must appear wherever mutual funds are offered, and the footer must show both companies side by side.</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ARN, CIN and address appear as highlighted "to confirm" markers in fine print and in the Aikyam Wealth column of the footer. The ARN is kept out of the first screen until confirmed.</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Investing, Invest, About, Aikyam Wealth, Disclosures and Investor Charter, Getting Started guide, footer (all pages); later Scheme Detail, SIP Calculator, Distributor Partner Programme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Q4</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C2</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Where the ARN must appear</w:t>
            </w:r>
          </w:p>
          <w:p>
            <w:pPr>
              <w:spacing w:after="50" w:before="0" w:line="264"/>
            </w:pPr>
            <w:r>
              <w:rPr>
                <w:rFonts w:ascii="Arial" w:cs="Arial" w:eastAsia="Arial" w:hAnsi="Arial"/>
                <w:b w:val="false"/>
                <w:bCs w:val="false"/>
                <w:i w:val="false"/>
                <w:iCs w:val="false"/>
                <w:color w:val="1C0F2F"/>
                <w:sz w:val="17"/>
                <w:szCs w:val="17"/>
              </w:rPr>
              <w:t xml:space="preserve">Once we have the ARN, we will show it beside "AMFI-registered mutual fund distributor" in the first screen, and again in fine print.</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Is once per page enough, or must the ARN also sit under every form where an investor enters a mobile number?</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If the ARN is not available by 2 Nov, should the "AMFI-registered" line come off the first screen until it is?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AMFI code expects the ARN wherever a distributor advertises. A claim without the number should not go live.</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first screen says "AMFI-registered mutual fund distributor" without the number. The ARN marker sits under the investing form, in the FAQ and in the footer.</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Investing, About, Getting Started guide; later Scheme Detail, SIP Calculator</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Q4</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C3</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F&amp;O risk disclosure: text and placement</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Please confirm the current SEBI-prescribed text and version of the F&amp;O risk disclosure. We use the SEBI circular of 19 May 2023 ("9 out of 10 individual traders in equity F&amp;O incurred net losses" and the related figures).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We show the full box, never collapsed, inside the trading section of Home (directly above the F&amp;O row) and directly under the F&amp;O heading on Start Trading, instead of a full-width band after the first screen. Is this placement sufficient?</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On Trade, the box is the first block of its own derivatives section, after the products, charges and account steps, and nothing above it names F&amp;O, currency or commodity. Is this sufficient on a page that is not itself an F&amp;O page?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is the most visited page that carries the box. Outdated text or weak placement is a regulatory risk.</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Full text from the 19 May 2023 circular, marked "current SEBI text to confirm", placed in context as described in (b) and (c).</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Trade, Paid campaign landing page; later Futures and Options, Currency and Commodity</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val="false"/>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C4</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Wording on account-opening forms</w:t>
            </w:r>
          </w:p>
          <w:p>
            <w:pPr>
              <w:spacing w:after="50" w:before="0" w:line="264"/>
            </w:pPr>
            <w:r>
              <w:rPr>
                <w:rFonts w:ascii="Arial" w:cs="Arial" w:eastAsia="Arial" w:hAnsi="Arial"/>
                <w:b w:val="false"/>
                <w:bCs w:val="false"/>
                <w:i w:val="false"/>
                <w:iCs w:val="false"/>
                <w:color w:val="1C0F2F"/>
                <w:sz w:val="17"/>
                <w:szCs w:val="17"/>
              </w:rPr>
              <w:t xml:space="preserve">Every form that collects a mobile number carries the same lines. Please approve or replace each one.</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Consent: "I agree to the Privacy Policy and allow Aikyam Capital to call, SMS or WhatsApp me about this application." (Aikyam Wealth forms use the same words with Aikyam Wealth.) Must the box be ticked to continue under the DPDP Act? Is any DND or NDNC wording needed?</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Receiver line: "Your number goes to Aikyam Capital Private Limited to send your OTP and continue your application." May it go without the registration number, since the number already appears once on the page?</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Hand-off line: "Activation is subject to KYC verification and exchange approval." Does this apply to an Aikyam Wealth investing account? If not, what should it say?</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Forms that ask for a call back or a launch alert, not an account (PMS, partner programmes): may the consent end "about this request" instead of "about this application"? May the distributor partner application use the Aikyam Wealth wording as it stands?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Calling back people who stop halfway is only lawful with valid consent. One approval covers every form on the site.</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draft wording above, with one unticked box that must be ticked to continue. Aikyam Wealth forms say "Activation is subject to KYC verification" with a marker for any further checks. Call-back and launch-alert forms use the same words, ending "about this request".</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Start Investing, Trade, Paid campaign landing page; later Scheme Detail, PMS, Distributor Partner Programme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C5</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Terms and Conditions and Privacy Policy</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The live Terms define "Aikyam" as Aikyam Wealth, which ties broking clauses 10, 11, 13 and 14 to the distributor. Please supply a clause that sets out which services each company provides.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Does the Privacy Policy cover Aikyam Wealth as a company that receives applicants' data?</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Terms: version, effective date and last-updated date. Privacy Policy: effective date (version 1.0).</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May we remove the internal "final legal/regulatory review" note from the Privacy Policy before publishing?</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Both documents go live on 2 Nov, and every form links to the Privacy Policy.</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pages show the text exactly as supplied, with the dates as "to confirm" markers. We do not change the entity wording on our side.</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Terms and Conditions, Privacy Policy, Start Trading, Start Investing</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Q1, Q2, Q3, Q5</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val="false"/>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C6</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Sign-off on the regulatory footer</w:t>
            </w:r>
          </w:p>
          <w:p>
            <w:pPr>
              <w:spacing w:after="50" w:before="0" w:line="264"/>
            </w:pPr>
            <w:r>
              <w:rPr>
                <w:rFonts w:ascii="Arial" w:cs="Arial" w:eastAsia="Arial" w:hAnsi="Arial"/>
                <w:b w:val="false"/>
                <w:bCs w:val="false"/>
                <w:i w:val="false"/>
                <w:iCs w:val="false"/>
                <w:color w:val="1C0F2F"/>
                <w:sz w:val="17"/>
                <w:szCs w:val="17"/>
              </w:rPr>
              <w:t xml:space="preserve">Your content document marks the regulatory footer "Wait for Confirmation". Please approve it, and confirm these points:</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Aikyam Capital details as shown: CIN, GSTIN, DP ID (IN-DP-854-2026, NSDL IN305066) and the DP licence date, and the exchange and clearing member codes.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Proprietary trading disclosure: the wording, and whether it must also sit on broking pages.</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Should we add the SEBI line that registration and NISM certification "in no way guarantee performance of the intermediary or provide any assurance of returns"?</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Investor charters: the source for the Mutual Fund Distributor charter, and whether the Investor Charter for Stressed Asset Management belongs on ROOT.</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The two "Click Here" links in the Attention Investors block: the CDSL or NSDL e-voting address, and the address of the client registration documents in regional languages.</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About restates the footer's caution notice in plain words: "People sometimes pretend to be from Aikyam on WhatsApp groups, social media or fake websites. For trading, pay only into the Aikyam Capital Private Limited bank accounts listed on our Client bank accounts page. Not sure? Call our help desk before you act." May we use it? Is "For trading" right, and is there an approved line for mutual fund payments, which do not go to Aikyam Capital's accounts?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footer appears on every page and cannot go live without your approval.</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footer as drafted from your content document, with the note "Footer content awaits Aikyam compliance confirmation". The proprietary trading line sits as fine print in the Start Trading FAQ, in the closing "Before you trade" block on Trade, and under the Aikyam Capital register on About. The two links show as markers. The caution in (f) shows as a draft, with no line on mutual fund payments.</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Footer (all pages), Disclosures and Investor Charter, Start Trading, Trade, About</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Q6, Q13</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C7</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IPO distributor line for Aikyam Capital</w:t>
            </w:r>
          </w:p>
          <w:p>
            <w:pPr>
              <w:spacing w:after="50" w:before="0" w:line="264"/>
            </w:pPr>
            <w:r>
              <w:rPr>
                <w:rFonts w:ascii="Arial" w:cs="Arial" w:eastAsia="Arial" w:hAnsi="Arial"/>
                <w:b w:val="false"/>
                <w:bCs w:val="false"/>
                <w:i w:val="false"/>
                <w:iCs w:val="false"/>
                <w:color w:val="1C0F2F"/>
                <w:sz w:val="17"/>
                <w:szCs w:val="17"/>
              </w:rPr>
              <w:t xml:space="preserve">Home offers mutual funds through Aikyam Wealth and IPOs through Aikyam Capital. Your distributor disclaimer names only Aikyam Wealth. Please supply one line naming Aikyam Capital Private Limited as the trading member acting as distributor for IPOs, to sit beside it.</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Without it, the IPO offers on Home, Trade and the Getting Started guide carry no disclosure naming the company that provides them.</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Your Aikyam Wealth disclaimer as supplied, plus a highlighted marker reading "IPO distributor line from Aikyam compliance".</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Trade, Getting Started guide; later IPO, Upcoming IPOs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C8</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Exchange filing before launch</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Do Home and Start Trading count as advertisements that must be filed with the exchanges before 2 Nov?</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What filing window should we plan for, for the launch pages and for each paid campaign landing page?</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Please answer (a) and (b) for the other pages too: About, Trade, Grievance Redressal and the Getting Started guide (2 Nov); scheme pages, calculators and Learn guides (does a scheme page also need the fund house's approval?); and the PMS and partner programme pages (under AMFI or SEBI rules for distributor communications, and exchange rules for the Authorised Person page).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filing window decides the date by which launch copy must be frozen.</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All launch copy is treated as a draft until you approve it. We do not assume any filing period.</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Trade, About, Grievance Redressal, Getting Started guide, Paid campaign landing page; later Scheme Detail, calculators, Learn guides, PMS, partner pages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C9</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"Check it yourself" links</w:t>
            </w:r>
          </w:p>
          <w:p>
            <w:pPr>
              <w:spacing w:after="50" w:before="0" w:line="264"/>
            </w:pPr>
            <w:r>
              <w:rPr>
                <w:rFonts w:ascii="Arial" w:cs="Arial" w:eastAsia="Arial" w:hAnsi="Arial"/>
                <w:b w:val="false"/>
                <w:bCs w:val="false"/>
                <w:i w:val="false"/>
                <w:iCs w:val="false"/>
                <w:color w:val="1C0F2F"/>
                <w:sz w:val="17"/>
                <w:szCs w:val="17"/>
              </w:rPr>
              <w:t xml:space="preserve">The pages invite visitors to check facts on official sites. Please confirm the exact page to link for each:</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SEBI intermediary search.</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NSDL depository participant list.</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AMFI ARN search.</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Exchange member lookups.</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The NSE page for F&amp;O contract specifications and the expiry calendar.</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The MCX page for commodity contract details (Trade).</w:t>
            </w:r>
          </w:p>
          <w:p>
            <w:pPr>
              <w:spacing w:after="40" w:line="252"/>
              <w:ind w:left="300" w:hanging="300"/>
            </w:pPr>
            <w:r>
              <w:rPr>
                <w:rFonts w:ascii="Arial" w:cs="Arial" w:eastAsia="Arial" w:hAnsi="Arial"/>
                <w:b/>
                <w:bCs/>
                <w:i w:val="false"/>
                <w:iCs w:val="false"/>
                <w:color w:val="1C0F2F"/>
                <w:sz w:val="17"/>
                <w:szCs w:val="17"/>
              </w:rPr>
              <w:t xml:space="preserve">(g)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The MCA company search for a CIN, and the GST taxpayer search (About).</w:t>
            </w:r>
          </w:p>
          <w:p>
            <w:pPr>
              <w:spacing w:after="40" w:line="252"/>
              <w:ind w:left="300" w:hanging="300"/>
            </w:pPr>
            <w:r>
              <w:rPr>
                <w:rFonts w:ascii="Arial" w:cs="Arial" w:eastAsia="Arial" w:hAnsi="Arial"/>
                <w:b/>
                <w:bCs/>
                <w:i w:val="false"/>
                <w:iCs w:val="false"/>
                <w:color w:val="1C0F2F"/>
                <w:sz w:val="17"/>
                <w:szCs w:val="17"/>
              </w:rPr>
              <w:t xml:space="preserve">(h)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The complaint pages of NSE, BSE, MCX, MSEI and NSDL (Grievance Redressal).</w:t>
            </w:r>
          </w:p>
          <w:p>
            <w:pPr>
              <w:spacing w:after="40" w:line="252"/>
              <w:ind w:left="300" w:hanging="300"/>
            </w:pPr>
            <w:r>
              <w:rPr>
                <w:rFonts w:ascii="Arial" w:cs="Arial" w:eastAsia="Arial" w:hAnsi="Arial"/>
                <w:b/>
                <w:bCs/>
                <w:i w:val="false"/>
                <w:iCs w:val="false"/>
                <w:color w:val="1C0F2F"/>
                <w:sz w:val="17"/>
                <w:szCs w:val="17"/>
              </w:rPr>
              <w:t xml:space="preserve">(i)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The NISM page for Series V-A certification (Distributor Partner Programme).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These checks carry the trust case on the launch pages. A wrong link undermines it.</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Links to the home pages of sebi.gov.in, nsdl.co.in, amfiindia.com, nseindia.com, mcxindia.com, mca.gov.in and nism.ac.in. The GST and exchange member rows on About have no link yet.</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Start Investing, Trade, About, Grievance Redressal, Getting Started guide; later Scheme Detail, SIP Calculator, Distributor Partner Programme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val="false"/>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C10</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Grievance contacts and escalation wording</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Compliance officer details to publish (name, email, phone). Your Terms revision gives +91 22 6975 2600, which the published Escalation Matrix lists against the CEO. The Matrix lists the Compliance Officer on +91 22 6975 2604. Which is correct?</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Grievance officer details to publish, and the depository (DP) grievance email.</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Which email takes complaints about mutual fund distribution? grievances@aikyamcap.com is the broking address. What escalation route may the Aikyam Wealth pages describe?</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May we say "If you are not satisfied with the response, you can use SEBI's SCORES portal or the Smart ODR portal", linking scores.sebi.gov.in and smartodr.in?</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For a broking complaint, which address should a client use first: grievances@aikyamcap.com (level 2 in the Escalation Matrix) or helpdesk@aikyamcap.com (level 1)? Should the page lead with writing in, or with calling?</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May Grievance Redressal show the level 2 phone (+91 22 6975 2605) from the Escalation Matrix, and compliance@aikyamcap.com from your Terms revision?</w:t>
            </w:r>
          </w:p>
          <w:p>
            <w:pPr>
              <w:spacing w:after="40" w:line="252"/>
              <w:ind w:left="300" w:hanging="300"/>
            </w:pPr>
            <w:r>
              <w:rPr>
                <w:rFonts w:ascii="Arial" w:cs="Arial" w:eastAsia="Arial" w:hAnsi="Arial"/>
                <w:b/>
                <w:bCs/>
                <w:i w:val="false"/>
                <w:iCs w:val="false"/>
                <w:color w:val="1C0F2F"/>
                <w:sz w:val="17"/>
                <w:szCs w:val="17"/>
              </w:rPr>
              <w:t xml:space="preserve">(g)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PMS: which route takes complaints about Aikyam Wealth's distribution, as opposed to complaints about the portfolio itself (the portfolio manager's own route)?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Grievance routes are mandatory. A wrong number sends complaints to the wrong desk.</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grievances@aikyamcap.com for broking. The SCORES and Smart ODR sentence with both links. The Aikyam Wealth route and officer details show as markers. Grievance Redressal leads with writing to the grievance desk, with the help desk phone offered as "Prefer to call?". The level 2 phone shows as a marker and the compliance email is not shown.</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Grievance Redressal, Escalation Matrix and Key Managerial Persons, Terms and Conditions, Start Trading, Start Investing, About, footer (all pages); later Scheme Detail, SIP Calculator, PMS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Q8</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C11</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Security and execution claims</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What may we say about how applicants' data is stored, encrypted and shared (KRA and CKYC), for each company?</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Earlier copy uses "Bank-grade security" and "Fast, reliable execution". Can each be supported, or should it be dropped?</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Unsupported claims are an advertising risk, and data safety is a top concern for new applicants.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A short "Who handles your details?" card that names the KYC partner and links the Privacy Policy, with no security adjectives. Both claims are left out.</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Start Investing, About</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val="false"/>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C12</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Wording on mutual fund pages and guides</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May an AMFI-registered distributor show an illustrative SIP card with an example scheme name ("Example Flexi Cap Fund", "Regular plan", captioned "Example names, not real schemes."), with no amounts or returns?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What help may Aikyam Wealth offer in choosing funds (a risk profile, a person to talk to), and in what words, so that it does not read as advice?</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May Start Investing quote the Attention Investors line "KYC is one time exercise..." in its FAQ?</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Please approve the not-a-recommendation lines. Scheme pages: "These are facts about the scheme from the fund house and our data provider. They are not a recommendation: you decide which funds to invest in." Calculators: "This calculator gives estimates from the numbers you enter. It is not a recommendation to invest in any scheme." Every Learn guide: "This guide is for education. It is not a recommendation to buy or sell any security or scheme."</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May the Getting Started guide offer three questions for beginners to ask themselves (what the money is for, whether they could hold on through falls, and reading the scheme documents), with no numbers and no answer chosen for them, without a Research Analyst or Investment Adviser registration?</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Other illustrative cards with example names and no amounts, each captioned: an order card for "Example Industries Ltd" and a SIP card that names no scheme (Getting Started guide); a set-up card with "Example Portfolio Managers Ltd" and "Example Equity Strategy" (PMS); partner screens with a masked ARN ("ARN-XXXXXX") and "Example client" (Distributor Partner Programme). Are these acceptable on the same terms as (a)?</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These lines decide how close the pages come to advice, which a distributor must avoid.</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card as described. The FAQ says "You choose the schemes" with a marker for guidance wording. The KYC line is quoted word for word. The lines in (d) and the questions in (e) show as drafts. Every card in (f) carries a caption saying the names are examples.</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Investing, Getting Started guide; later Scheme Detail, SIP Calculator and other calculators, Learn guides, PMS, Distributor Partner Programme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C13</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Research and advice registration</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Does any Aikyam entity hold a SEBI Research Analyst (INH) or Investment Adviser (INA) registration?</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May we use "Institutional-grade research" or "Open-architecture research", as in earlier copy?</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Decides whether stock and market pages may ever carry research, ideas or recommendations.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No research, advice or recommendation language anywhere. Stock pages show data only.</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Equity, Stock Detail, Markets and Indices; later Learn guides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8 Dec</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val="false"/>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C14</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How complaints are handled</w:t>
            </w:r>
          </w:p>
          <w:p>
            <w:pPr>
              <w:spacing w:after="50" w:before="0" w:line="264"/>
            </w:pPr>
            <w:r>
              <w:rPr>
                <w:rFonts w:ascii="Arial" w:cs="Arial" w:eastAsia="Arial" w:hAnsi="Arial"/>
                <w:b w:val="false"/>
                <w:bCs w:val="false"/>
                <w:i w:val="false"/>
                <w:iCs w:val="false"/>
                <w:color w:val="1C0F2F"/>
                <w:sz w:val="17"/>
                <w:szCs w:val="17"/>
              </w:rPr>
              <w:t xml:space="preserve">Grievance Redressal explains the route step by step. Please confirm:</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What acknowledgement and reply times does Aikyam commit to, and do they follow the current SEBI timelines?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Does each complaint get a reference number, and how should a client follow up?</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Is raising a complaint with Aikyam free of charge? What are the Smart ODR conciliation and arbitration fees for an investor?</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Is there a written Grievance Redressal Policy (with a PDF) to publish, with its version, last-updated date and clauses? If not, should the page carry the grievance section of the investor charter instead?</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May the page explain the route in our plain words, marked as drafts, with the official procedure kept in the policy clauses? Or must every sentence come from you?</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val="false"/>
                <w:bCs w:val="false"/>
                <w:i w:val="false"/>
                <w:iCs w:val="false"/>
                <w:color w:val="1C0F2F"/>
                <w:sz w:val="17"/>
                <w:szCs w:val="17"/>
              </w:rPr>
              <w:t xml:space="preserve">May "Email the grievance desk" open a prefilled email with the subject "Complaint about my account" and headings for name, client code, registered mobile or email, what happened and what the client would like done? Does the desk want a particular subject line?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These are the questions a client asks before complaining. The page cannot state times, costs or the official procedure without your text.</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No day counts or charges: each answer shows as a marker. The policy shows seven clause headings, each with a marker, and a marker for the PDF. The plain-words route and the prefilled email are marked as drafts.</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Grievance Redressal</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C15</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SCORES, Smart ODR and complaints data</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Which exact SCORES and Smart ODR pages should we link?</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When may each be used? May a client file on SCORES before escalating within Aikyam? May Smart ODR be used at any stage after complaining to Aikyam, or only after SCORES?</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Is there a time limit for filing on each, and what are the review stages and timelines in the current SEBI circulars?</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Does the ODR circular require a direct Smart ODR link on Home, beyond the footer link to Grievance Redressal? Should the footer link scores.sebi.gov.in and smartodr.in directly?</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Are the investor complaints figures shown only on Disclosures and Investor Charter, and how often are they updated?</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page shows the two portals side by side as one step and says "or", not "then". An unclear order or a missing link is a regulatory risk.</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Links to the home pages of both portals, with markers for when each applies and for the timelines. The footer's "SCORES and ODR" link opens Grievance Redressal. The complaints figures are linked on Disclosures and Investor Charter, with a marker for how often they are updated.</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Grievance Redressal, Disclosures and Investor Charter, Home, footer (all pages)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val="false"/>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C16</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Plain-words explanations on Trade and the Getting Started guide</w:t>
            </w:r>
          </w:p>
          <w:p>
            <w:pPr>
              <w:spacing w:after="50" w:before="0" w:line="264"/>
            </w:pPr>
            <w:r>
              <w:rPr>
                <w:rFonts w:ascii="Arial" w:cs="Arial" w:eastAsia="Arial" w:hAnsi="Arial"/>
                <w:b w:val="false"/>
                <w:bCs w:val="false"/>
                <w:i w:val="false"/>
                <w:iCs w:val="false"/>
                <w:color w:val="1C0F2F"/>
                <w:sz w:val="17"/>
                <w:szCs w:val="17"/>
              </w:rPr>
              <w:t xml:space="preserve">Both pages explain the basics in plain words. Please approve or correct each line.</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KYC: "Before your account opens, your identity is checked with your PAN and Aadhaar. This is called KYC (know your customer)."</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The smallest start for each product: shares "One share, at its market price"; ETFs "One unit, at its market price"; IPOs "One lot, the smallest bid the company sets"; mutual funds "The scheme's minimum, at once or as a SIP".</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Delivery and intraday: the cards "In your demat", "Same day" and "As long as you like" as plain definitions. Are there intraday rules you want stated, such as the square-off time or margin?</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Switching: "Opening an account with Aikyam Capital does not need you to close an account elsewhere."</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Selling: may the guide say shares and ETFs can be sold "on any trading day, at that day's price"?</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val="false"/>
                <w:bCs w:val="false"/>
                <w:i w:val="false"/>
                <w:iCs w:val="false"/>
                <w:color w:val="1C0F2F"/>
                <w:sz w:val="17"/>
                <w:szCs w:val="17"/>
              </w:rPr>
              <w:t xml:space="preserve">Who dates each guide ("Last updated"), and how often should guides be reviewed?</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New investors read these pages first. Each line describes how markets or accounts work, so it needs your approval.</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Each line shows as a draft. If a line is declined, it comes out with no other change. No times, margins or leverage are stated. The "Last updated" line stays hidden until you date the guide.</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Trade, Getting Started guide; later other Learn guides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val="false"/>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C17</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Scheme pages: returns, risk and fund data</w:t>
            </w:r>
          </w:p>
          <w:p>
            <w:pPr>
              <w:spacing w:after="50" w:before="0" w:line="264"/>
            </w:pPr>
            <w:r>
              <w:rPr>
                <w:rFonts w:ascii="Arial" w:cs="Arial" w:eastAsia="Arial" w:hAnsi="Arial"/>
                <w:b w:val="false"/>
                <w:bCs w:val="false"/>
                <w:i w:val="false"/>
                <w:iCs w:val="false"/>
                <w:color w:val="1C0F2F"/>
                <w:sz w:val="17"/>
                <w:szCs w:val="17"/>
              </w:rPr>
              <w:t xml:space="preserve">Each mutual fund scheme will have its own page built from fund data, so one answer sets every scheme page. Parts (e) and (f) with the Wealth business head.</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Past returns: may a distributor's scheme page show them, and in which format? Periods (1, 3 and 5 years, since launch), annualised or simple change, the benchmark and any additional benchmark, SIP returns (which measure, such as XIRR, and which date and amount), and category average. Which past-performance line is required?</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May the first screen show a one-year NAV chart (no percentage) without the benchmark beside it? May returns come before the risk section?</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Riskometer: must it use SEBI's dial picture (form and colours), and must the benchmark riskometer sit beside it? Must the fund house's product label ("suitable for investors who are seeking") appear word for word, including its footnote about consulting advisers? May we add a plain line for each risk level, for example "The value of your investment can rise and fall a lot, especially over short periods."?</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Costs and tax: may every scheme page say stamp duty applies "When you buy" and tax on gains "When you sell", with no rates? Which tax wording for mutual fund gains will you approve and keep current?</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May a distributor show the fund house's data and documents, and name the fund house above the scheme name? May we show fund house logos, with each fund house's permission?</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val="false"/>
                <w:bCs w:val="false"/>
                <w:i w:val="false"/>
                <w:iCs w:val="false"/>
                <w:color w:val="1C0F2F"/>
                <w:sz w:val="17"/>
                <w:szCs w:val="17"/>
              </w:rPr>
              <w:t xml:space="preserve">May a scheme page show a table of other regular plans in the same SEBI category? How should any list of schemes be ordered (alphabetically, by fund size) so that no order reads as a ranking?</w:t>
            </w:r>
          </w:p>
          <w:p>
            <w:pPr>
              <w:spacing w:after="40" w:line="252"/>
              <w:ind w:left="300" w:hanging="300"/>
            </w:pPr>
            <w:r>
              <w:rPr>
                <w:rFonts w:ascii="Arial" w:cs="Arial" w:eastAsia="Arial" w:hAnsi="Arial"/>
                <w:b/>
                <w:bCs/>
                <w:i w:val="false"/>
                <w:iCs w:val="false"/>
                <w:color w:val="1C0F2F"/>
                <w:sz w:val="17"/>
                <w:szCs w:val="17"/>
              </w:rPr>
              <w:t xml:space="preserve">(g) </w:t>
            </w:r>
            <w:r>
              <w:rPr>
                <w:rFonts w:ascii="Arial" w:cs="Arial" w:eastAsia="Arial" w:hAnsi="Arial"/>
                <w:b w:val="false"/>
                <w:bCs w:val="false"/>
                <w:i w:val="false"/>
                <w:iCs w:val="false"/>
                <w:color w:val="1C0F2F"/>
                <w:sz w:val="17"/>
                <w:szCs w:val="17"/>
              </w:rPr>
              <w:t xml:space="preserve">We will draft one plain line per SEBI category, for example "Puts at least 65% in company shares, large, mid or small, in a mix its fund manager chooses." Will you approve the set?</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Returns and risk are the main blocks of every scheme page, and a distributor's page must not read as advice.</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Regular plan, Growth option. Returns for 1, 3 and 5 years and since launch, annualised above one year, beside the benchmark only; no category average, rank or rating; "Past performance does not guarantee future returns." Two riskometer dials with written levels; the product label credited to the fund house, without the footnote. The fund house named as text, no logos. No peer table: a link to the Fund Explorer, listed alphabetically. Tax in general words with a marker. Category lines marked as drafts.</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Scheme Detail (every scheme page), Fund Explorer</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8 Dec</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val="false"/>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C18</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Calculators: defaults, results and captions</w:t>
            </w:r>
          </w:p>
          <w:p>
            <w:pPr>
              <w:spacing w:after="50" w:before="0" w:line="264"/>
            </w:pPr>
            <w:r>
              <w:rPr>
                <w:rFonts w:ascii="Arial" w:cs="Arial" w:eastAsia="Arial" w:hAnsi="Arial"/>
                <w:b w:val="false"/>
                <w:bCs w:val="false"/>
                <w:i w:val="false"/>
                <w:iCs w:val="false"/>
                <w:color w:val="1C0F2F"/>
                <w:sz w:val="17"/>
                <w:szCs w:val="17"/>
              </w:rPr>
              <w:t xml:space="preserve">The SIP Calculator sets the pattern for the other mutual fund calculators.</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May a distributor's calculator show a default assumed return, and which value? The draft starts at ₹5,000 a month for 10 years at an assumed 12% a year (ranges ₹500 to ₹1,00,000, 1 to 30 years, 1% to 20%), labelled as an example the visitor can change. The other choice is no default return, with the result asking the visitor for one.</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May the page show values worked out from the visitor's own inputs (the result, the growth chart and a worked example), using only the formula printed on the page?</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Please approve the caption under every result: "Illustrative. Assumes the return stays constant and contributions are made at the start of each month. Mutual fund returns are not guaranteed." Is anything else required on a distributor's calculator under AMFI or SEBI advertisement rules?</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May we show a simple picture, with no numbers or axes, comparing the steady estimate with a fund value that rises and falls, captioned "Illustration, not data"?</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Would you like a line showing the result at a lower rate, for example "At 2 points lower, about ₹X"?</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val="false"/>
                <w:bCs w:val="false"/>
                <w:i w:val="false"/>
                <w:iCs w:val="false"/>
                <w:color w:val="1C0F2F"/>
                <w:sz w:val="17"/>
                <w:szCs w:val="17"/>
              </w:rPr>
              <w:t xml:space="preserve">Inflation: should the calculator simply say that inflation is not included, or offer "Show in today's money" with an inflation rate you approve? The retirement and child education planners need an inflation rate either way.</w:t>
            </w:r>
          </w:p>
          <w:p>
            <w:pPr>
              <w:spacing w:after="40" w:line="252"/>
              <w:ind w:left="300" w:hanging="300"/>
            </w:pPr>
            <w:r>
              <w:rPr>
                <w:rFonts w:ascii="Arial" w:cs="Arial" w:eastAsia="Arial" w:hAnsi="Arial"/>
                <w:b/>
                <w:bCs/>
                <w:i w:val="false"/>
                <w:iCs w:val="false"/>
                <w:color w:val="1C0F2F"/>
                <w:sz w:val="17"/>
                <w:szCs w:val="17"/>
              </w:rPr>
              <w:t xml:space="preserve">(g) </w:t>
            </w:r>
            <w:r>
              <w:rPr>
                <w:rFonts w:ascii="Arial" w:cs="Arial" w:eastAsia="Arial" w:hAnsi="Arial"/>
                <w:b w:val="false"/>
                <w:bCs w:val="false"/>
                <w:i w:val="false"/>
                <w:iCs w:val="false"/>
                <w:color w:val="1C0F2F"/>
                <w:sz w:val="17"/>
                <w:szCs w:val="17"/>
              </w:rPr>
              <w:t xml:space="preserve">Please confirm the method: monthly rate = yearly rate ÷ 12, with each instalment at the start of the month.</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default is the first number every visitor sees on every mutual fund calculator, and a default can read as a suggestion.</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defaults in (a), labelled "Assumed return" and "not a forecast". Values worked out only from the printed formula, with the caption. The picture in (d) is shown; no lower-rate line. Inflation stated as not included. The method in (g), stated on the page.</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SIP Calculator, Lumpsum Calculator, Retirement Calculator, Retirement Planning, Child Education Planning</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8 Dec</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val="false"/>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C19</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PMS pages: registration, payments and wording</w:t>
            </w:r>
          </w:p>
          <w:p>
            <w:pPr>
              <w:spacing w:after="50" w:before="0" w:line="264"/>
            </w:pPr>
            <w:r>
              <w:rPr>
                <w:rFonts w:ascii="Arial" w:cs="Arial" w:eastAsia="Arial" w:hAnsi="Arial"/>
                <w:b w:val="false"/>
                <w:bCs w:val="false"/>
                <w:i w:val="false"/>
                <w:iCs w:val="false"/>
                <w:color w:val="1C0F2F"/>
                <w:sz w:val="17"/>
                <w:szCs w:val="17"/>
              </w:rPr>
              <w:t xml:space="preserve">PMS shows as "Coming soon" until strategies are empanelled. Please confirm:</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Under which registration does Aikyam Wealth distribute PMS? Is the AMFI ARN the number to show, or does PMS distribution also need an APMI registration and NISM certification to display?</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How is Aikyam Wealth paid for distributing PMS (by the portfolio manager, trail or upfront, a share of fees)? Must the page or the commission disclosure say so?</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May the page state the fee types ("Fixed, linked to performance, or both") as general information, with each strategy's fees, exit load and any lock-in shown later?</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May the page state these facts as written: holdings sit "in a demat account in your name"; "your agreement is with the portfolio manager"; Aikyam Wealth "does not manage your portfolio or hold your money"; the portfolio manager "reports to you"?</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Performance: may the page say where each manager's reported performance can be checked, and in what format may strategy pages show it later (benchmark, period)?</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val="false"/>
                <w:bCs w:val="false"/>
                <w:i w:val="false"/>
                <w:iCs w:val="false"/>
                <w:color w:val="1C0F2F"/>
                <w:sz w:val="17"/>
                <w:szCs w:val="17"/>
              </w:rPr>
              <w:t xml:space="preserve">Before any empanelment, is a page that names no portfolio manager acceptable?</w:t>
            </w:r>
          </w:p>
          <w:p>
            <w:pPr>
              <w:spacing w:after="40" w:line="252"/>
              <w:ind w:left="300" w:hanging="300"/>
            </w:pPr>
            <w:r>
              <w:rPr>
                <w:rFonts w:ascii="Arial" w:cs="Arial" w:eastAsia="Arial" w:hAnsi="Arial"/>
                <w:b/>
                <w:bCs/>
                <w:i w:val="false"/>
                <w:iCs w:val="false"/>
                <w:color w:val="1C0F2F"/>
                <w:sz w:val="17"/>
                <w:szCs w:val="17"/>
              </w:rPr>
              <w:t xml:space="preserve">(g) </w:t>
            </w:r>
            <w:r>
              <w:rPr>
                <w:rFonts w:ascii="Arial" w:cs="Arial" w:eastAsia="Arial" w:hAnsi="Arial"/>
                <w:b w:val="false"/>
                <w:bCs w:val="false"/>
                <w:i w:val="false"/>
                <w:iCs w:val="false"/>
                <w:color w:val="1C0F2F"/>
                <w:sz w:val="17"/>
                <w:szCs w:val="17"/>
              </w:rPr>
              <w:t xml:space="preserve">Your distributor disclaimer names "Mutual funds, IPOs and bonds", not PMS. Does a PMS page need its own distributor line or risk statement?</w:t>
            </w:r>
          </w:p>
          <w:p>
            <w:pPr>
              <w:spacing w:after="40" w:line="252"/>
              <w:ind w:left="300" w:hanging="300"/>
            </w:pPr>
            <w:r>
              <w:rPr>
                <w:rFonts w:ascii="Arial" w:cs="Arial" w:eastAsia="Arial" w:hAnsi="Arial"/>
                <w:b/>
                <w:bCs/>
                <w:i w:val="false"/>
                <w:iCs w:val="false"/>
                <w:color w:val="1C0F2F"/>
                <w:sz w:val="17"/>
                <w:szCs w:val="17"/>
              </w:rPr>
              <w:t xml:space="preserve">(h) </w:t>
            </w:r>
            <w:r>
              <w:rPr>
                <w:rFonts w:ascii="Arial" w:cs="Arial" w:eastAsia="Arial" w:hAnsi="Arial"/>
                <w:b w:val="false"/>
                <w:bCs w:val="false"/>
                <w:i w:val="false"/>
                <w:iCs w:val="false"/>
                <w:color w:val="1C0F2F"/>
                <w:sz w:val="17"/>
                <w:szCs w:val="17"/>
              </w:rPr>
              <w:t xml:space="preserve">Should the page say that investors may also invest with a portfolio manager directly, without a distributor, and mention any exception to the ₹50 lakh minimum (for example accredited investors)?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PMS follows separate SEBI rules for larger investors. These lines decide what the PMS pages may say before and after launch.</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No manager, strategy, fee or performance figure is named: "ROOT does not show PMS returns on this page." The ARN in fine print; "The portfolio manager pays Aikyam Wealth for distributing its strategy." with a marker; the facts in (d) as written. Your distributor disclaimer plus a marker for PMS text. Neither point in (h) is mentioned; the ₹50 lakh minimum is shown as SEBI's minimum.</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PMS pages, PMS guide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13 Jan</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val="false"/>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C20</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Distributor Partner Programme: rules and wording</w:t>
            </w:r>
          </w:p>
          <w:p>
            <w:pPr>
              <w:spacing w:after="50" w:before="0" w:line="264"/>
            </w:pPr>
            <w:r>
              <w:rPr>
                <w:rFonts w:ascii="Arial" w:cs="Arial" w:eastAsia="Arial" w:hAnsi="Arial"/>
                <w:b w:val="false"/>
                <w:bCs w:val="false"/>
                <w:i w:val="false"/>
                <w:iCs w:val="false"/>
                <w:color w:val="1C0F2F"/>
                <w:sz w:val="17"/>
                <w:szCs w:val="17"/>
              </w:rPr>
              <w:t xml:space="preserve">Part (f) with the Wealth business head.</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Are the conduct lists acceptable as drafted? Always: show your ARN and EUIN, disclose regular plans and what you earn, make sure KYC is complete, explain risk. Never: promise returns, pass back commission or offer gifts, take client money into your own account, churn, use another title. Will you supply Aikyam Wealth's own partner code (use of the ROOT and Aikyam names, cash handling, exclusivity, targets)?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Does an individual ARN holder also need an EUIN, and may the page say "Show your ARN and EUIN to clients and on every investment"?</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Are holders of other NISM mutual fund certificates eligible, or only Series V-A?</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May the page describe the money path as written: "Fund houses pay distribution commission on regular plans", "Included in the plan's expense ratio", "Aikyam Wealth shares it with you, as set out in your payout grid"?</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Is the mutual fund risk line plus the distributor disclaimer the right closing block for a partner page, or is a programme disclaimer needed?</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val="false"/>
                <w:bCs w:val="false"/>
                <w:i w:val="false"/>
                <w:iCs w:val="false"/>
                <w:color w:val="1C0F2F"/>
                <w:sz w:val="17"/>
                <w:szCs w:val="17"/>
              </w:rPr>
              <w:t xml:space="preserve">May the agreement card say "Your payouts: Set out in the agreement" and "Aikyam Wealth shares the full agreement after the checks"?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lists explain obligations AMFI already sets and must not read as rules we wrote. Payout wording must not read as an earnings promise.</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lines above, marked as drafts, with a link to AMFI's code of conduct and a marker for your partner code. Series V-A only. No figures anywhere.</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Distributor Partner Programme, Partner with ROOT</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13 Jan</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bl>
    <w:p>
      <w:pPr>
        <w:spacing w:after="60" w:before="0" w:line="264"/>
      </w:pPr>
      <w:r>
        <w:br w:type="page"/>
      </w:r>
    </w:p>
    <w:p>
      <w:pPr>
        <w:keepNext/>
        <w:spacing w:after="60" w:before="0" w:line="264"/>
      </w:pPr>
      <w:r>
        <w:rPr>
          <w:rFonts w:ascii="Arial" w:cs="Arial" w:eastAsia="Arial" w:hAnsi="Arial"/>
          <w:b/>
          <w:bCs/>
          <w:i w:val="false"/>
          <w:iCs w:val="false"/>
          <w:color w:val="1C0F2F"/>
          <w:sz w:val="28"/>
          <w:szCs w:val="28"/>
        </w:rPr>
        <w:t xml:space="preserve">Broking business head (B1 to B6)</w:t>
      </w:r>
    </w:p>
    <w:p>
      <w:pPr>
        <w:keepNext/>
        <w:spacing w:after="160" w:before="0" w:line="264"/>
      </w:pPr>
      <w:r>
        <w:rPr>
          <w:rFonts w:ascii="Arial" w:cs="Arial" w:eastAsia="Arial" w:hAnsi="Arial"/>
          <w:b w:val="false"/>
          <w:bCs w:val="false"/>
          <w:i w:val="false"/>
          <w:iCs w:val="false"/>
          <w:color w:val="5A5266"/>
          <w:sz w:val="19"/>
          <w:szCs w:val="19"/>
        </w:rPr>
        <w:t xml:space="preserve">Aikyam Capital: charges, segments, IPOs, moving money and shares, and who can open a trading account.</w:t>
      </w:r>
    </w:p>
    <w:tbl>
      <w:tblPr>
        <w:tblW w:type="dxa" w:w="152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560"/>
        <w:gridCol w:w="1700"/>
        <w:gridCol w:w="2300"/>
        <w:gridCol w:w="1800"/>
        <w:gridCol w:w="600"/>
        <w:gridCol w:w="900"/>
        <w:gridCol w:w="2490"/>
      </w:tblGrid>
      <w:tr>
        <w:trPr>
          <w:tblHeader/>
        </w:trPr>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ID</w:t>
            </w:r>
          </w:p>
        </w:tc>
        <w:tc>
          <w:tcPr>
            <w:tcW w:type="dxa" w:w="456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Question</w:t>
            </w:r>
          </w:p>
        </w:tc>
        <w:tc>
          <w:tcPr>
            <w:tcW w:type="dxa" w:w="17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Why it matters</w:t>
            </w:r>
          </w:p>
        </w:tc>
        <w:tc>
          <w:tcPr>
            <w:tcW w:type="dxa" w:w="23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Meanwhile, the pages show</w:t>
            </w:r>
          </w:p>
        </w:tc>
        <w:tc>
          <w:tcPr>
            <w:tcW w:type="dxa" w:w="18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Pages affected</w:t>
            </w:r>
          </w:p>
        </w:tc>
        <w:tc>
          <w:tcPr>
            <w:tcW w:type="dxa" w:w="6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Ref</w:t>
            </w:r>
          </w:p>
        </w:tc>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Priority</w:t>
            </w:r>
          </w:p>
        </w:tc>
        <w:tc>
          <w:tcPr>
            <w:tcW w:type="dxa" w:w="249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Answer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B1</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Account opening charge and rate card</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Is opening a trading and demat account ₹0?</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Brokerage for each segment: equity delivery, intraday, futures, options, currency and commodity.</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DP charge.</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Annual maintenance charge (AMC).</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MTF interest rate, if MTF is offered.</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Cost is a first question for new clients. The site-wide button "Open free account" depends on (a).</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button reads "Open free account", but no ₹0 appears anywhere. Charges read "Rate card to confirm", with "Brokerage will never exceed the limits prescribed by SEBI." If (a) is not confirmed before launch, the button will read "Open your account".</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Trade, Pricing, About, Getting Started guide, header (all pages)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Q7</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B2</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F&amp;O activation</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Which proofs of income activate F&amp;O?</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Is activation requested during account opening or afterwards? Are there any other checks?</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Do currency and commodity need the same proof, or other checks?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and Trade tell traders how to switch on F&amp;O.</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"Optional. You switch it on after sharing proof of income." The accepted proofs and the timing show as markers. Trade shows currency and commodity as segments to add, with no requirement stated.</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Trade; later Futures and Options, Currency and Commodity</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B3</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Segments live at launch</w:t>
            </w:r>
          </w:p>
          <w:p>
            <w:pPr>
              <w:spacing w:after="50" w:before="0" w:line="264"/>
            </w:pPr>
            <w:r>
              <w:rPr>
                <w:rFonts w:ascii="Arial" w:cs="Arial" w:eastAsia="Arial" w:hAnsi="Arial"/>
                <w:b w:val="false"/>
                <w:bCs w:val="false"/>
                <w:i w:val="false"/>
                <w:iCs w:val="false"/>
                <w:color w:val="1C0F2F"/>
                <w:sz w:val="17"/>
                <w:szCs w:val="17"/>
              </w:rPr>
              <w:t xml:space="preserve">Part (d) with the Compliance officer.</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Which segments are live on 2 Nov: equity, F&amp;O, currency, commodity?</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On which exchanges for each (NSE, BSE, MCX, MSEI)?</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Can clients buy ETFs from launch?</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Are all four exchange memberships active for retail clients at launch? May About say "Member of NSE, BSE, MCX and MSEI", and may the Getting Started guide say shares are bought "On NSE or BSE"?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launch pages name the exchanges and show the segments a new client can add.</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Proof points name NSE, BSE, MCX and MSEI, as in your content document. A "Your segments" card shows equity on and three segments to add. About and the guide use the wording in (d).</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Trade, Invest, About, Getting Started guide; later Futures and Options, Currency and Commodity</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B4</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IPO applications at launch</w:t>
            </w:r>
          </w:p>
          <w:p>
            <w:pPr>
              <w:spacing w:after="50" w:before="0" w:line="264"/>
            </w:pPr>
            <w:r>
              <w:rPr>
                <w:rFonts w:ascii="Arial" w:cs="Arial" w:eastAsia="Arial" w:hAnsi="Arial"/>
                <w:b w:val="false"/>
                <w:bCs w:val="false"/>
                <w:i w:val="false"/>
                <w:iCs w:val="false"/>
                <w:color w:val="1C0F2F"/>
                <w:sz w:val="17"/>
                <w:szCs w:val="17"/>
              </w:rPr>
              <w:t xml:space="preserve">Part (d) with the Compliance officer.</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Can clients apply for IPOs through Aikyam Capital with a UPI mandate from 2 Nov?</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Is there a pre-apply option for upcoming issues?</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Is there a charge for an IPO application?</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May the pages say: "Your bid amount is blocked in your bank account through your UPI mandate, and is debited only if you get an allotment."?</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main headings on Home, Start Trading and Trade name IPOs. If IPOs are not live at launch, those headings must change.</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"Stocks, IPOs and mutual funds, in one place." The IPO row reads "Apply for open IPOs with UPI, and see what is coming up." The IPO card is labelled illustrative. No pre-apply claim. On Trade, the row reads "Apply for open IPOs from your account, and pay with UPI." The charge shows as a marker and the sentence in (d) as a draft.</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Trade, Invest, Getting Started guide; later IPO, Upcoming IPOs, IPO Calendar and Allotment Status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B5</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Who can open a trading account</w:t>
            </w:r>
          </w:p>
          <w:p>
            <w:pPr>
              <w:spacing w:after="50" w:before="0" w:line="264"/>
            </w:pPr>
            <w:r>
              <w:rPr>
                <w:rFonts w:ascii="Arial" w:cs="Arial" w:eastAsia="Arial" w:hAnsi="Arial"/>
                <w:b w:val="false"/>
                <w:bCs w:val="false"/>
                <w:i w:val="false"/>
                <w:iCs w:val="false"/>
                <w:color w:val="1C0F2F"/>
                <w:sz w:val="17"/>
                <w:szCs w:val="17"/>
              </w:rPr>
              <w:t xml:space="preserve">At launch, is the trading and demat account for resident Indian individuals only? Which of these are available: NRI, joint, minor, HUF, company?</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Eligibility is one of the first things an applicant checks.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"Resident Indian individuals" and "NRI accounts are not available on ROOT yet". Other account types show as a marker.</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Start Trading, Trade, Help Centre, Paid campaign landing page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B6</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Money and shares in and out</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How does a client add money to the trading account (UPI, net banking, other)?</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How does money from a sale reach the client's bank: on request or automatically, and how soon?</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How does a client move shares in from another broker at launch?</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"How do I add money?", "Can I take my money out?" and "Can I bring my shares?" are among the first questions of new and switching clients.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A marker for each answer. No payout times or settlement days are stated.</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Trade, Getting Started guide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bl>
    <w:p>
      <w:pPr>
        <w:spacing w:after="60" w:before="0" w:line="264"/>
      </w:pPr>
      <w:r>
        <w:br w:type="page"/>
      </w:r>
    </w:p>
    <w:p>
      <w:pPr>
        <w:keepNext/>
        <w:spacing w:after="60" w:before="0" w:line="264"/>
      </w:pPr>
      <w:r>
        <w:rPr>
          <w:rFonts w:ascii="Arial" w:cs="Arial" w:eastAsia="Arial" w:hAnsi="Arial"/>
          <w:b/>
          <w:bCs/>
          <w:i w:val="false"/>
          <w:iCs w:val="false"/>
          <w:color w:val="1C0F2F"/>
          <w:sz w:val="28"/>
          <w:szCs w:val="28"/>
        </w:rPr>
        <w:t xml:space="preserve">Wealth business head (W1 to W10)</w:t>
      </w:r>
    </w:p>
    <w:p>
      <w:pPr>
        <w:keepNext/>
        <w:spacing w:after="160" w:before="0" w:line="264"/>
      </w:pPr>
      <w:r>
        <w:rPr>
          <w:rFonts w:ascii="Arial" w:cs="Arial" w:eastAsia="Arial" w:hAnsi="Arial"/>
          <w:b w:val="false"/>
          <w:bCs w:val="false"/>
          <w:i w:val="false"/>
          <w:iCs w:val="false"/>
          <w:color w:val="5A5266"/>
          <w:sz w:val="19"/>
          <w:szCs w:val="19"/>
        </w:rPr>
        <w:t xml:space="preserve">Aikyam Wealth: SIPs, the investing account, costs, schemes, PMS and the distributor partner programme.</w:t>
      </w:r>
    </w:p>
    <w:tbl>
      <w:tblPr>
        <w:tblW w:type="dxa" w:w="152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560"/>
        <w:gridCol w:w="1700"/>
        <w:gridCol w:w="2300"/>
        <w:gridCol w:w="1800"/>
        <w:gridCol w:w="600"/>
        <w:gridCol w:w="900"/>
        <w:gridCol w:w="2490"/>
      </w:tblGrid>
      <w:tr>
        <w:trPr>
          <w:tblHeader/>
        </w:trPr>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ID</w:t>
            </w:r>
          </w:p>
        </w:tc>
        <w:tc>
          <w:tcPr>
            <w:tcW w:type="dxa" w:w="456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Question</w:t>
            </w:r>
          </w:p>
        </w:tc>
        <w:tc>
          <w:tcPr>
            <w:tcW w:type="dxa" w:w="17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Why it matters</w:t>
            </w:r>
          </w:p>
        </w:tc>
        <w:tc>
          <w:tcPr>
            <w:tcW w:type="dxa" w:w="23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Meanwhile, the pages show</w:t>
            </w:r>
          </w:p>
        </w:tc>
        <w:tc>
          <w:tcPr>
            <w:tcW w:type="dxa" w:w="18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Pages affected</w:t>
            </w:r>
          </w:p>
        </w:tc>
        <w:tc>
          <w:tcPr>
            <w:tcW w:type="dxa" w:w="6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Ref</w:t>
            </w:r>
          </w:p>
        </w:tc>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Priority</w:t>
            </w:r>
          </w:p>
        </w:tc>
        <w:tc>
          <w:tcPr>
            <w:tcW w:type="dxa" w:w="249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Answer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W1</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SIP at launch</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Can investors start a SIP from 2 Nov?</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How are instalments collected (for example, an auto-debit mandate)?</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Does ROOT set any minimum beyond each scheme's own?</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Start Investing leads with SIPs and shows an illustrative SIP card.</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SIP in the opening lines and the FAQ, with mandate details as a marker. If SIPs are not live, the SIP card is replaced by a fund categories card.</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Investing; later SIP, Scheme Detail, SIP Calculator</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W2</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Investing account basics</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Are mutual fund units held in a folio with the fund house (statement of account), or in the investor's demat account?</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Who can open an investing account: resident individuals only, or also NRI, joint, minor and HUF?</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Answers two common questions: "Do I need a demat account?" and "Can I open one?"</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"No trading account needed" and "Resident Indian individuals". Holding details and other account types show as markers.</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Investing, About, Help Centre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W3</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Mutual fund costs and commission disclosure</w:t>
            </w:r>
          </w:p>
          <w:p>
            <w:pPr>
              <w:spacing w:after="50" w:before="0" w:line="264"/>
            </w:pPr>
            <w:r>
              <w:rPr>
                <w:rFonts w:ascii="Arial" w:cs="Arial" w:eastAsia="Arial" w:hAnsi="Arial"/>
                <w:b w:val="false"/>
                <w:bCs w:val="false"/>
                <w:i w:val="false"/>
                <w:iCs w:val="false"/>
                <w:color w:val="1C0F2F"/>
                <w:sz w:val="17"/>
                <w:szCs w:val="17"/>
              </w:rPr>
              <w:t xml:space="preserve">Parts (a), (c) and (d) with the Compliance officer.</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Is opening an Aikyam Wealth investing account free? If it is ₹0, may it appear as a large "₹0" next to the "How Aikyam Wealth is paid: commission" tile, or should it stay in plain text so it does not read as "zero commission"?</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Does Aikyam Wealth charge a transaction charge on mutual fund purchases? Is "When you buy units, if it applies." acceptable meanwhile?</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Is a trail commission disclosure required on Home and Pricing? Please approve: "Aikyam Wealth is paid a commission by the fund house. It is included in the plan's expense ratio."</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Should each scheme page show the commission Aikyam Wealth earns on that scheme (for example the trail rate), or only the commission disclosure page?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Investors ask what the distributor earns. A ₹0 beside a commission line must not read as "zero commission".</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No "free" or "₹0" in investing copy. The account charge and transaction charge show as markers in plain text. The commission line above, with a link to the commission disclosure page. No commission figure on scheme pages: they link to the commission disclosure.</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Investing, Pricing, Getting Started guide; later Distribution Fee and Commission Disclosure, Scheme Detail, SIP Calculator</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W4</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Enquiries from larger investors</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Is there a way today for larger investors to talk to the wealth team? Which company receives these enquiries, and at which email or number?</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The PMS page invites larger investors to "Talk to the wealth team" before PMS is live. Is there a team to take these calls, what may a call cover before launch, and who receives the requests?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Larger investors are a Home audience. The Contact form today sends details to Aikyam Capital.</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Home FAQ points to info@aikyamcap.com. PMS shows as "Coming soon". On PMS, the button reads "Talk to the wealth team" with no call-back time. If there is no team before launch, it becomes "Tell me when it is live".</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Contact, Aikyam Wealth; later PMS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W5</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Products beyond mutual funds</w:t>
            </w:r>
          </w:p>
          <w:p>
            <w:pPr>
              <w:spacing w:after="50" w:before="0" w:line="264"/>
            </w:pPr>
            <w:r>
              <w:rPr>
                <w:rFonts w:ascii="Arial" w:cs="Arial" w:eastAsia="Arial" w:hAnsi="Arial"/>
                <w:b w:val="false"/>
                <w:bCs w:val="false"/>
                <w:i w:val="false"/>
                <w:iCs w:val="false"/>
                <w:color w:val="1C0F2F"/>
                <w:sz w:val="17"/>
                <w:szCs w:val="17"/>
              </w:rPr>
              <w:t xml:space="preserve">Part (d) with the Compliance officer.</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Does Aikyam Wealth distribute bonds and fixed income, and NPS?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PMS: which managers and strategies are empanelled for distribution?</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Will ROOT offer AIFs? They are named in your launch brief.</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Insurance: which company holds the licence, its IRDAI class (Corporate Agent or Insurance Broker), the licence number, and which lines are live.</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When will PMS distribution open on ROOT?</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These pages stay as "Coming soon" drafts until each product is cleared.</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Insurance, Bonds and Fixed Income, NPS and PMS show as "Coming soon" in the menus. Their pages are drafts with no claims.</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Insurance pages, Bonds and Fixed Income, NPS, PMS pages, Invest menu</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13 Jan</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W6</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Schemes, orders and SIPs on ROOT</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Which schemes will ROOT list: every regular plan from all the fund houses Aikyam Wealth is empanelled with? Is the IDCW option offered beside Growth?</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What are the order cut-off times on ROOT for mutual fund purchases, and how should the applicable NAV be explained?</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Can investors change, pause or stop a SIP on ROOT? Is a step-up (top-up) SIP offered?</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Sets the scope of the scheme pages and answers common questions on scheme and calculator pages. A step-up option is added to the calculator only if the feature exists.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One page per scheme, regular plan, with the Growth option shown. The SEBI cut-off rule in general words, with a marker for ROOT's times. A marker for SIP changes; no step-up option.</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Scheme Detail, Fund Explorer, SIP, SIP Calculator</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8 Dec</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W7</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PMS through Aikyam Wealth</w:t>
            </w:r>
          </w:p>
          <w:p>
            <w:pPr>
              <w:spacing w:after="50" w:before="0" w:line="264"/>
            </w:pPr>
            <w:r>
              <w:rPr>
                <w:rFonts w:ascii="Arial" w:cs="Arial" w:eastAsia="Arial" w:hAnsi="Arial"/>
                <w:b w:val="false"/>
                <w:bCs w:val="false"/>
                <w:i w:val="false"/>
                <w:iCs w:val="false"/>
                <w:color w:val="1C0F2F"/>
                <w:sz w:val="17"/>
                <w:szCs w:val="17"/>
              </w:rPr>
              <w:t xml:space="preserve">Part (d) with the Compliance officer.</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Does a PMS investor need an Aikyam Capital demat account or an Aikyam Wealth account, or does the portfolio manager open the demat account?</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Can investors contribute shares they already hold instead of cash, and how do they count towards the minimum?</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Will empanelled strategies accept NRI investors through Aikyam Wealth?</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How does Aikyam Wealth choose which portfolio managers to empanel, and may the page describe it?</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These are the first practical questions of an investor considering PMS.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A marker for each answer. No selection or due-diligence claims.</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PMS pages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13 Jan</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W8</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Distributor Partner Programme: model and payouts</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Programme model: do partners arrange investments under Aikyam Wealth's ARN, with their own ARN and EUIN recorded on each investment and Aikyam Wealth sharing the commission it receives? Or do partners use their own ARN on a platform Aikyam Wealth provides?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Payout grid: how is each partner's share worked out (by category, by assets, by slab)? May the grid appear on the page, or only be shared after the first call?</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Is there a joining fee, a security deposit or a minimum business target?</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When are payouts made, and how does a partner see each one (statement, portal)? Are payouts subject to TDS, and must partners raise GST invoices?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Practising distributors decide on the model and the payouts first. The money path, the payout copy and two FAQ answers depend on (a).</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first model in (a), with every sentence that depends on it marked as a draft. "Payout grid to confirm" and markers for any fee, deposit, target and payout timing. No figures, no "free" and no tax wording.</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Distributor Partner Programme, Partner with ROOT</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13 Jan</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W9</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Distributor Partner Programme: who can join</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Who can apply: individuals and firms only, or also companies and LLPs? Is there any minimum experience, assets or location?</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Will Aikyam Wealth take applications from people who do not yet hold NISM Series V-A or an ARN, and does it help them prepare?</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How long do the checks take after an application, and what is the full document list for individuals and for firms?</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Which email and phone should partners use for questions about the programme?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Eligibility and the joining steps are the first things an applicant checks. Partners will not use the investor help desk.</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"Individual distributors and distribution firms." with a marker. The form asks for a mobile number and "Do you have an ARN from AMFI? (Yes / Not yet)". Four documents shown, with markers for the full list, the time the checks take and the partner contact.</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Distributor Partner Programme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13 Jan</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W10</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Distributor Partner Programme: clients and support</w:t>
            </w:r>
          </w:p>
          <w:p>
            <w:pPr>
              <w:spacing w:after="50" w:before="0" w:line="264"/>
            </w:pPr>
            <w:r>
              <w:rPr>
                <w:rFonts w:ascii="Arial" w:cs="Arial" w:eastAsia="Arial" w:hAnsi="Arial"/>
                <w:b w:val="false"/>
                <w:bCs w:val="false"/>
                <w:i w:val="false"/>
                <w:iCs w:val="false"/>
                <w:color w:val="1C0F2F"/>
                <w:sz w:val="17"/>
                <w:szCs w:val="17"/>
              </w:rPr>
              <w:t xml:space="preserve">Part (c) with the Technology and KYC partner.</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Who holds the client relationship? Does Aikyam Wealth contact a partner's clients directly, and on what terms?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Can partners bring their existing clients' investments into the programme, and how (a change of distributor at the investor's request)?</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What do a partner's clients use: an Aikyam Wealth investing account on ROOT (web or app), with the same KYC steps as Start Investing? Do they see the partner's name?</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What tools and support do partners get (partner login or desk, client reports, transaction platform, training, marketing material)? In one line, why should a practising distributor choose ROOT over another platform?</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How does a partner leave, and what happens to their clients' investments and payouts afterwards?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Client ownership is the first worry of practising distributors, and "why ROOT" is the page's main open point.</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"Your clients' investments are always held in their own names." and "Each client opens an investing account with Aikyam Wealth and completes KYC." with markers. No tools or features named.</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Distributor Partner Programme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13 Jan</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bl>
    <w:p>
      <w:pPr>
        <w:spacing w:after="60" w:before="0" w:line="264"/>
      </w:pPr>
      <w:r>
        <w:br w:type="page"/>
      </w:r>
    </w:p>
    <w:p>
      <w:pPr>
        <w:keepNext/>
        <w:spacing w:after="60" w:before="0" w:line="264"/>
      </w:pPr>
      <w:r>
        <w:rPr>
          <w:rFonts w:ascii="Arial" w:cs="Arial" w:eastAsia="Arial" w:hAnsi="Arial"/>
          <w:b/>
          <w:bCs/>
          <w:i w:val="false"/>
          <w:iCs w:val="false"/>
          <w:color w:val="1C0F2F"/>
          <w:sz w:val="28"/>
          <w:szCs w:val="28"/>
        </w:rPr>
        <w:t xml:space="preserve">Technology and KYC partner (T1 to T7)</w:t>
      </w:r>
    </w:p>
    <w:p>
      <w:pPr>
        <w:keepNext/>
        <w:spacing w:after="160" w:before="0" w:line="264"/>
      </w:pPr>
      <w:r>
        <w:rPr>
          <w:rFonts w:ascii="Arial" w:cs="Arial" w:eastAsia="Arial" w:hAnsi="Arial"/>
          <w:b w:val="false"/>
          <w:bCs w:val="false"/>
          <w:i w:val="false"/>
          <w:iCs w:val="false"/>
          <w:color w:val="5A5266"/>
          <w:sz w:val="19"/>
          <w:szCs w:val="19"/>
        </w:rPr>
        <w:t xml:space="preserve">The account-opening flow, KYC, forms, market and fund data, and hosting.</w:t>
      </w:r>
    </w:p>
    <w:tbl>
      <w:tblPr>
        <w:tblW w:type="dxa" w:w="152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560"/>
        <w:gridCol w:w="1700"/>
        <w:gridCol w:w="2300"/>
        <w:gridCol w:w="1800"/>
        <w:gridCol w:w="600"/>
        <w:gridCol w:w="900"/>
        <w:gridCol w:w="2490"/>
      </w:tblGrid>
      <w:tr>
        <w:trPr>
          <w:tblHeader/>
        </w:trPr>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ID</w:t>
            </w:r>
          </w:p>
        </w:tc>
        <w:tc>
          <w:tcPr>
            <w:tcW w:type="dxa" w:w="456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Question</w:t>
            </w:r>
          </w:p>
        </w:tc>
        <w:tc>
          <w:tcPr>
            <w:tcW w:type="dxa" w:w="17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Why it matters</w:t>
            </w:r>
          </w:p>
        </w:tc>
        <w:tc>
          <w:tcPr>
            <w:tcW w:type="dxa" w:w="23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Meanwhile, the pages show</w:t>
            </w:r>
          </w:p>
        </w:tc>
        <w:tc>
          <w:tcPr>
            <w:tcW w:type="dxa" w:w="18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Pages affected</w:t>
            </w:r>
          </w:p>
        </w:tc>
        <w:tc>
          <w:tcPr>
            <w:tcW w:type="dxa" w:w="6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Ref</w:t>
            </w:r>
          </w:p>
        </w:tc>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Priority</w:t>
            </w:r>
          </w:p>
        </w:tc>
        <w:tc>
          <w:tcPr>
            <w:tcW w:type="dxa" w:w="249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Answer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T1</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One sign-up or two</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Can one sign-up open both the Aikyam Capital trading and demat account and the Aikyam Wealth investing account?</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Can an existing Aikyam Capital client add mutual fund investing to the same login?</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May the Getting Started guide say "You can open both accounts, starting with either one."?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Decides the two entry points on Home and whether the site may ever say "one account".</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Two doors: "Open free account" for trading (Aikyam Capital) first, and "Only mutual funds? Start investing" (Aikyam Wealth). No "one account" wording. The guide's sentence shows as a draft.</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Start Investing, Getting Started guide, header (all pages)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T2</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KYC partner and live steps</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Who is the KYC partner for each company (Finovo 1KYC?), and is it the same for Aikyam Wealth?</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What is the live step order for the trading flow? Does it start with mobile number and OTP?</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What is the step order for the investing flow (DigiLocker, e-sign, nominee, FATCA, SIP mandate)?</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Is every step online for resident individuals, with no video IPV, courier or wet signature?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pages show four steps and name the KYC partner under every form. We can say "fully online" only if (d) is yes.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Four steps (mobile and OTP, verify PAN, Aadhaar via DigiLocker, link bank and e-sign) captioned "Steps shown are indicative and will be confirmed with the KYC partner's live flow." The partner name shows as a marker. Copy says "online", not "fully online".</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Start Investing, Getting Started guide, KYC and Account Opening Documents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T3</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What happens after "Get OTP"</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Where does the mobile number go: an OTP step on the Start Trading page, ekyc.rootbyaikyam.com, or the KYC partner's own address (aikyamcapital.1kyc.finovo.tech)? Can the Home form pass the number on, so the visitor does not type it twice?</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OTP channel (SMS or WhatsApp), number of digits and resend interval.</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If the number already has an account, should we send the visitor to login?</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Where do the numbers of people who stop halfway land (CRM), so your team can call them back?</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Forms that are not account applications ("tell me when it is live" sign-ups, PMS call-back requests and partner applications): do they need an OTP, where do the numbers land, and what happens when a number is already listed, has already applied or already belongs to a partner? Is there a promised call-back time?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This is the first step of every application. The forms cannot go live without a confirmed hand-off.</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Home form passes the number to Start Trading, which sends the OTP and then continues to the KYC partner. A known number sees "This number already has an Aikyam Capital account." with a Log in link. Sign-up and partner forms have no OTP, a thank-you message with no timing, and a message for a number already listed.</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Start Investing, Get the App, Paid campaign landing page; later PMS, Distributor Partner Programme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Q12</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T4</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Timing, and when things go wrong</w:t>
            </w:r>
          </w:p>
          <w:p>
            <w:pPr>
              <w:spacing w:after="50" w:before="0" w:line="264"/>
            </w:pPr>
            <w:r>
              <w:rPr>
                <w:rFonts w:ascii="Arial" w:cs="Arial" w:eastAsia="Arial" w:hAnsi="Arial"/>
                <w:b w:val="false"/>
                <w:bCs w:val="false"/>
                <w:i w:val="false"/>
                <w:iCs w:val="false"/>
                <w:color w:val="1C0F2F"/>
                <w:sz w:val="17"/>
                <w:szCs w:val="17"/>
              </w:rPr>
              <w:t xml:space="preserve">Part (f) with the Compliance officer.</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How long does account opening take, and how soon is an account usually active?</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What happens if an applicant stops halfway? Can they resume where they left off?</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What happens when PAN, Aadhaar or bank checks fail, including when Aadhaar is not linked to the mobile number?</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val="false"/>
                <w:bCs w:val="false"/>
                <w:i w:val="false"/>
                <w:iCs w:val="false"/>
                <w:color w:val="1C0F2F"/>
                <w:sz w:val="17"/>
                <w:szCs w:val="17"/>
              </w:rPr>
              <w:t xml:space="preserve">If an investor already has a KYC record, does the flow skip steps?</w:t>
            </w:r>
          </w:p>
          <w:p>
            <w:pPr>
              <w:spacing w:after="40" w:line="252"/>
              <w:ind w:left="300" w:hanging="300"/>
            </w:pPr>
            <w:r>
              <w:rPr>
                <w:rFonts w:ascii="Arial" w:cs="Arial" w:eastAsia="Arial" w:hAnsi="Arial"/>
                <w:b/>
                <w:bCs/>
                <w:i w:val="false"/>
                <w:iCs w:val="false"/>
                <w:color w:val="1C0F2F"/>
                <w:sz w:val="17"/>
                <w:szCs w:val="17"/>
              </w:rPr>
              <w:t xml:space="preserve">(e) </w:t>
            </w:r>
            <w:r>
              <w:rPr>
                <w:rFonts w:ascii="Arial" w:cs="Arial" w:eastAsia="Arial" w:hAnsi="Arial"/>
                <w:b w:val="false"/>
                <w:bCs w:val="false"/>
                <w:i w:val="false"/>
                <w:iCs w:val="false"/>
                <w:color w:val="1C0F2F"/>
                <w:sz w:val="17"/>
                <w:szCs w:val="17"/>
              </w:rPr>
              <w:t xml:space="preserve">Do the answers above also hold for the Aikyam Wealth investing flow?</w:t>
            </w:r>
          </w:p>
          <w:p>
            <w:pPr>
              <w:spacing w:after="40" w:line="252"/>
              <w:ind w:left="300" w:hanging="300"/>
            </w:pPr>
            <w:r>
              <w:rPr>
                <w:rFonts w:ascii="Arial" w:cs="Arial" w:eastAsia="Arial" w:hAnsi="Arial"/>
                <w:b/>
                <w:bCs/>
                <w:i w:val="false"/>
                <w:iCs w:val="false"/>
                <w:color w:val="1C0F2F"/>
                <w:sz w:val="17"/>
                <w:szCs w:val="17"/>
              </w:rPr>
              <w:t xml:space="preserve">(f)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Once (a) is known, may the pages state it? Trade says only: "Your account is ready once your KYC is verified and the exchanges approve it."</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"How long does it take?" and "What if I stop?" are among the most asked questions.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No duration or activation time is stated. A "Stopped halfway?" card shows markers for the resume and failed-check steps.</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Start Trading, Start Investing, Trade, Getting Started guide, Help Centre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T5</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Market data and test access</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Which market data feed does the ROOT app use, and are prices live or delayed?</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Does the licence cover display on the website?</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Please share test login details and the latest app build (APK), so we can plan the data pages.</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Which mutual fund data provider supplies returns, portfolio, riskometer, expense ratio, exit load, fund managers, product label and document links, and how often is each refreshed?</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Phase 2 pages show fund, IPO, stock and index data. A live index strip on Home needs a website display licence.</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No live prices in Phase 1. All market data in designs is labelled illustrative. Scheme pages take NAV from AMFI's daily NAV data and show the fund data provider as a marker in every source line.</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Markets and Indices, Stock Detail, Fund Explorer, Scheme Detail, IPO pages, Home (index strip)</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Q16</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8 Dec</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T6</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Hosting and deployment</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Who controls the current rootbyaikyam.com deployment?</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Where will the site be hosted? The Next.js front end and Node CMS need a Node runtime and a database, which the current static cPanel hosting does not provide.</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Page addresses: folder style (/privacy-policy/) or file style (privacy-policy.html)?</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launch build cannot go up until hosting is ready and someone with access is named.</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Folder-style addresses, matching the links already prepared for search engines. The upload plan waits for (a) and (b).</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All pages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Q14, Q15</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T7</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Carrying a visitor's choice into account opening</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From a scheme page: may the form pass the chosen scheme into account opening, so that after KYC the investor lands on that fund's SIP or one-time order?</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From the SIP Calculator: may "Start a SIP" carry the amount and period, so that Start Investing can show "Your plan: ₹5,000 a month"?</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investor keeps what they chose and does not start again after KYC.</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scheme page passes the scheme to Start Investing, which does not show it yet. The calculator links to Start Investing with nothing carried over, and the page promises no carry-over.</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Scheme Detail, SIP Calculator, Start Investing</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Before 8 Dec</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bl>
    <w:p>
      <w:pPr>
        <w:spacing w:after="60" w:before="0" w:line="264"/>
      </w:pPr>
      <w:r>
        <w:br w:type="page"/>
      </w:r>
    </w:p>
    <w:p>
      <w:pPr>
        <w:keepNext/>
        <w:spacing w:after="60" w:before="0" w:line="264"/>
      </w:pPr>
      <w:r>
        <w:rPr>
          <w:rFonts w:ascii="Arial" w:cs="Arial" w:eastAsia="Arial" w:hAnsi="Arial"/>
          <w:b/>
          <w:bCs/>
          <w:i w:val="false"/>
          <w:iCs w:val="false"/>
          <w:color w:val="1C0F2F"/>
          <w:sz w:val="28"/>
          <w:szCs w:val="28"/>
        </w:rPr>
        <w:t xml:space="preserve">Product and client relations (P1 to P7)</w:t>
      </w:r>
    </w:p>
    <w:p>
      <w:pPr>
        <w:keepNext/>
        <w:spacing w:after="160" w:before="0" w:line="264"/>
      </w:pPr>
      <w:r>
        <w:rPr>
          <w:rFonts w:ascii="Arial" w:cs="Arial" w:eastAsia="Arial" w:hAnsi="Arial"/>
          <w:b w:val="false"/>
          <w:bCs w:val="false"/>
          <w:i w:val="false"/>
          <w:iCs w:val="false"/>
          <w:color w:val="5A5266"/>
          <w:sz w:val="19"/>
          <w:szCs w:val="19"/>
        </w:rPr>
        <w:t xml:space="preserve">Brand name, contacts, offices, the platforms, leaders, photography and the app.</w:t>
      </w:r>
    </w:p>
    <w:tbl>
      <w:tblPr>
        <w:tblW w:type="dxa" w:w="1525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560"/>
        <w:gridCol w:w="1700"/>
        <w:gridCol w:w="2300"/>
        <w:gridCol w:w="1800"/>
        <w:gridCol w:w="600"/>
        <w:gridCol w:w="900"/>
        <w:gridCol w:w="2490"/>
      </w:tblGrid>
      <w:tr>
        <w:trPr>
          <w:tblHeader/>
        </w:trPr>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ID</w:t>
            </w:r>
          </w:p>
        </w:tc>
        <w:tc>
          <w:tcPr>
            <w:tcW w:type="dxa" w:w="456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Question</w:t>
            </w:r>
          </w:p>
        </w:tc>
        <w:tc>
          <w:tcPr>
            <w:tcW w:type="dxa" w:w="17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Why it matters</w:t>
            </w:r>
          </w:p>
        </w:tc>
        <w:tc>
          <w:tcPr>
            <w:tcW w:type="dxa" w:w="23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Meanwhile, the pages show</w:t>
            </w:r>
          </w:p>
        </w:tc>
        <w:tc>
          <w:tcPr>
            <w:tcW w:type="dxa" w:w="18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Pages affected</w:t>
            </w:r>
          </w:p>
        </w:tc>
        <w:tc>
          <w:tcPr>
            <w:tcW w:type="dxa" w:w="6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Ref</w:t>
            </w:r>
          </w:p>
        </w:tc>
        <w:tc>
          <w:tcPr>
            <w:tcW w:type="dxa" w:w="90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Priority</w:t>
            </w:r>
          </w:p>
        </w:tc>
        <w:tc>
          <w:tcPr>
            <w:tcW w:type="dxa" w:w="2490"/>
            <w:tcBorders>
              <w:top w:val="single" w:color="C9C2D3" w:sz="4"/>
              <w:left w:val="single" w:color="C9C2D3" w:sz="4"/>
              <w:bottom w:val="single" w:color="C9C2D3" w:sz="4"/>
              <w:right w:val="single" w:color="C9C2D3" w:sz="4"/>
            </w:tcBorders>
            <w:shd w:fill="1C0F2F" w:color="auto" w:val="clear"/>
            <w:tcMar>
              <w:top w:type="dxa" w:w="70"/>
              <w:left w:type="dxa" w:w="90"/>
              <w:bottom w:type="dxa" w:w="70"/>
              <w:right w:type="dxa" w:w="90"/>
            </w:tcMar>
            <w:vAlign w:val="center"/>
          </w:tcPr>
          <w:p>
            <w:pPr>
              <w:spacing w:after="0" w:before="0" w:line="264"/>
            </w:pPr>
            <w:r>
              <w:rPr>
                <w:rFonts w:ascii="Arial" w:cs="Arial" w:eastAsia="Arial" w:hAnsi="Arial"/>
                <w:b/>
                <w:bCs/>
                <w:i w:val="false"/>
                <w:iCs w:val="false"/>
                <w:color w:val="FFFFFF"/>
                <w:sz w:val="17"/>
                <w:szCs w:val="17"/>
              </w:rPr>
              <w:t xml:space="preserve">Answer</w:t>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P1</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Product name, tagline and group names</w:t>
            </w:r>
          </w:p>
          <w:p>
            <w:pPr>
              <w:spacing w:after="50" w:before="0" w:line="264"/>
            </w:pPr>
            <w:r>
              <w:rPr>
                <w:rFonts w:ascii="Arial" w:cs="Arial" w:eastAsia="Arial" w:hAnsi="Arial"/>
                <w:b w:val="false"/>
                <w:bCs w:val="false"/>
                <w:i w:val="false"/>
                <w:iCs w:val="false"/>
                <w:color w:val="1C0F2F"/>
                <w:sz w:val="17"/>
                <w:szCs w:val="17"/>
              </w:rPr>
              <w:t xml:space="preserve">Part (c) with the Compliance officer.</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Please confirm in writing: "ROOT by Aikyam" with "Where your wealth begins." (content document), or "ROOT by Aikyam Wealth" with "Where Wealth Begins" (launch brief)?</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The group diagram shows investment banking and asset management as group lines. Should it name the companies behind them?</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What is the legal relationship between Aikyam Capital Private Limited, Aikyam Wealth Private Limited and "Aikyam Capital Group": a holding company and subsidiaries, or sister companies under common promoters?</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May About explain the name with "Aikyam means oneness"?</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name and tagline appear on every page and in every screenshot.</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"ROOT by Aikyam" and "Where your wealth begins." Group lines without company names. About says "Part of Aikyam Capital Group" only, with no holding or subsidiary wording, and opens its group section with "Aikyam means oneness".</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Header (all pages), Home, About</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P2</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Which contact customers should use</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For "talk to a real person", which email: info@aikyamcap.com, helpdesk@aikyamcap.com or grievances@aikyamcap.com?</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May we show the helpdesk number +91 22 6975 2608 to customers? The main line +91 22 6975 2600 is listed against the CEO in the published Escalation Matrix, so we keep it off customer pages.</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May About, Contact and Grievance Redressal show the help desk hours from the published Escalation Matrix (Monday to Friday, 9:30 AM to 6:00 PM IST)?</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wrong line sends retail callers to senior management instead of the helpdesk.</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info@aikyamcap.com and a link to Contact, with no phone number in page text. Where a phone is shown, the helpdesk number. The hours show as a marker.</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Contact, Help Centre, Start Trading, Start Investing, About, Grievance Redressal, footer (all pages)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Q8</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P3</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Offices and company links</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Corporate office: your Terms revision gives 410, B Wing, Knox Plaza, Malad West; the website and Escalation Matrix give 1704, Level 17, Lotus Link Square. Is Knox Plaza Aikyam Wealth's office and Lotus Link Square Aikyam Capital's?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Should the Contact page show the regional offices (GIFT City, Chennai, Noida, Dubai)?</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Careers page address (the link on the live site goes nowhere).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Addresses appear in the Terms, the footer and on Contact, and must match your filings.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registered office (1203, Level 12, Lotus Link Square) only. Regional offices not shown. The Careers link shows as a marker.</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Contact, Terms and Conditions, About, footer (all pages)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Q10, Q11</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P4</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Platforms at launch</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On 2 Nov, where does an Aikyam Wealth investor choose funds and start a SIP, and where do they log in (Wealth app address)?</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Will ROOT show shares, IPO applications and mutual funds together in one portfolio view (web now, app later)?</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Please share the app feature details document ("Root by Aikyam Wealth - Feature Details", mentioned on 24 Jul), which we have not received.</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What can clients do on the trading web platform (trade.rootbyaikyam.com/login) at launch: order types, charts, watchlists, GTT or basket orders, IPO applications, contract notes? Does it work in a phone browser?</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Home hero pictures one combined portfolio, and existing investors need a working login link. Trade tells traders where they will place orders.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hero shows the illustrative combined view approved on 8 Oct, labelled "Illustrative data. Not real prices or returns." The Wealth login shows as a marker, with no link. Trade says only "Trade on the web at trade.rootbyaikyam.com/login.", with no feature list and no phone-browser claim.</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Investing, Trade, Getting Started guide, header (all pages); later Scheme Detail, SIP Calculator, Login</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Q9</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P5</w:t>
            </w:r>
          </w:p>
          <w:p>
            <w:pPr>
              <w:spacing w:after="0" w:before="0" w:line="264"/>
            </w:pPr>
            <w:r>
              <w:rPr>
                <w:rFonts w:ascii="Arial" w:cs="Arial" w:eastAsia="Arial" w:hAnsi="Arial"/>
                <w:b/>
                <w:bCs/>
                <w:color w:val="1C0F2F"/>
                <w:sz w:val="14"/>
                <w:szCs w:val="14"/>
                <w:shd w:fill="E4DDEC" w:color="auto" w:val="clear"/>
              </w:rPr>
              <w:t xml:space="preserve"> Updated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Photography</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For the image slots (the support team at the Mumbai office; a young professional at home), will Aikyam arrange a shoot, commission images, or prefer illustration?</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Who signs model releases for staff and models?</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Leadership portraits for About and Leadership: shoot date, style and model releases.</w:t>
            </w:r>
          </w:p>
          <w:p>
            <w:pPr>
              <w:spacing w:after="40" w:line="252"/>
              <w:ind w:left="300" w:hanging="300"/>
            </w:pPr>
            <w:r>
              <w:rPr>
                <w:rFonts w:ascii="Arial" w:cs="Arial" w:eastAsia="Arial" w:hAnsi="Arial"/>
                <w:b/>
                <w:bCs/>
                <w:i w:val="false"/>
                <w:iCs w:val="false"/>
                <w:color w:val="1C0F2F"/>
                <w:sz w:val="17"/>
                <w:szCs w:val="17"/>
              </w:rPr>
              <w:t xml:space="preserve">(d) </w:t>
            </w:r>
            <w:r>
              <w:rPr>
                <w:rFonts w:ascii="Arial" w:cs="Arial" w:eastAsia="Arial" w:hAnsi="Arial"/>
                <w:b/>
                <w:bCs/>
                <w:color w:val="1C0F2F"/>
                <w:sz w:val="14"/>
                <w:szCs w:val="14"/>
                <w:shd w:fill="F6E9C0" w:color="auto" w:val="clear"/>
              </w:rPr>
              <w:t xml:space="preserve"> New </w:t>
            </w:r>
            <w:r>
              <w:rPr>
                <w:rFonts w:ascii="Arial" w:cs="Arial" w:eastAsia="Arial" w:hAnsi="Arial"/>
                <w:b w:val="false"/>
                <w:bCs w:val="false"/>
                <w:i w:val="false"/>
                <w:iCs w:val="false"/>
                <w:color w:val="1C0F2F"/>
                <w:sz w:val="17"/>
                <w:szCs w:val="17"/>
              </w:rPr>
              <w:t xml:space="preserve"> </w:t>
            </w:r>
            <w:r>
              <w:rPr>
                <w:rFonts w:ascii="Arial" w:cs="Arial" w:eastAsia="Arial" w:hAnsi="Arial"/>
                <w:b w:val="false"/>
                <w:bCs w:val="false"/>
                <w:i w:val="false"/>
                <w:iCs w:val="false"/>
                <w:color w:val="1C0F2F"/>
                <w:sz w:val="17"/>
                <w:szCs w:val="17"/>
              </w:rPr>
              <w:t xml:space="preserve">Further slots: a couple planning a SIP at home (SIP Calculator); the Aikyam Wealth team on a call and a business owner reading a disclosure document (PMS); the partner team on a call, and a distributor meeting clients at his office, shown with a model release and never captioned as a real partner (Distributor Partner Programme).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design uses real Aikyam people only, never stock photos of traders.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Art-directed image slots with a short brief for each. No stock photos and no trading screens. About shows each leader's initials in a portrait slot until the photos exist.</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Home, Start Trading, Start Investing, Trade, About, Leadership, Grievance Redressal, Getting Started guide; later Scheme Detail, SIP Calculator, PMS, Distributor Partner Programme</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P6</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The ROOT app</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App Store and Google Play links, listing names and launch date.</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Until the app is live, should Get the App collect "tell me when it is live" sign-ups (this needs a form and a place to store the numbers), or should we soften the promise?</w:t>
            </w:r>
          </w:p>
          <w:p>
            <w:pPr>
              <w:spacing w:after="40" w:line="252"/>
              <w:ind w:left="300" w:hanging="300"/>
            </w:pPr>
            <w:r>
              <w:rPr>
                <w:rFonts w:ascii="Arial" w:cs="Arial" w:eastAsia="Arial" w:hAnsi="Arial"/>
                <w:b/>
                <w:bCs/>
                <w:i w:val="false"/>
                <w:iCs w:val="false"/>
                <w:color w:val="1C0F2F"/>
                <w:sz w:val="17"/>
                <w:szCs w:val="17"/>
              </w:rPr>
              <w:t xml:space="preserve">(c) </w:t>
            </w:r>
            <w:r>
              <w:rPr>
                <w:rFonts w:ascii="Arial" w:cs="Arial" w:eastAsia="Arial" w:hAnsi="Arial"/>
                <w:b w:val="false"/>
                <w:bCs w:val="false"/>
                <w:i w:val="false"/>
                <w:iCs w:val="false"/>
                <w:color w:val="1C0F2F"/>
                <w:sz w:val="17"/>
                <w:szCs w:val="17"/>
              </w:rPr>
              <w:t xml:space="preserve">Once the app is live, should the site send new users to the app first, or to web account opening?</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The announcement bar, Get the App and every store button depend on this.</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Store buttons shown disabled with a "Coming soon" badge. The QR code "will appear here at launch".</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Get the App, Home, Trade, Getting Started guide, announcement bar (all pages)</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Q12</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r>
        <w:trPr>
          <w:cantSplit/>
        </w:trPr>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40" w:before="0" w:line="264"/>
            </w:pPr>
            <w:r>
              <w:rPr>
                <w:rFonts w:ascii="Arial" w:cs="Arial" w:eastAsia="Arial" w:hAnsi="Arial"/>
                <w:b/>
                <w:bCs/>
                <w:i w:val="false"/>
                <w:iCs w:val="false"/>
                <w:color w:val="1C0F2F"/>
                <w:sz w:val="18"/>
                <w:szCs w:val="18"/>
              </w:rPr>
              <w:t xml:space="preserve">P7</w:t>
            </w:r>
          </w:p>
          <w:p>
            <w:pPr>
              <w:spacing w:after="0" w:before="0" w:line="264"/>
            </w:pPr>
            <w:r>
              <w:rPr>
                <w:rFonts w:ascii="Arial" w:cs="Arial" w:eastAsia="Arial" w:hAnsi="Arial"/>
                <w:b/>
                <w:bCs/>
                <w:color w:val="1C0F2F"/>
                <w:sz w:val="14"/>
                <w:szCs w:val="14"/>
                <w:shd w:fill="F6E9C0" w:color="auto" w:val="clear"/>
              </w:rPr>
              <w:t xml:space="preserve"> New </w:t>
            </w:r>
          </w:p>
        </w:tc>
        <w:tc>
          <w:tcPr>
            <w:tcW w:type="dxa" w:w="456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50" w:before="0" w:line="264"/>
            </w:pPr>
            <w:r>
              <w:rPr>
                <w:rFonts w:ascii="Arial" w:cs="Arial" w:eastAsia="Arial" w:hAnsi="Arial"/>
                <w:b/>
                <w:bCs/>
                <w:i w:val="false"/>
                <w:iCs w:val="false"/>
                <w:color w:val="1C0F2F"/>
                <w:sz w:val="18"/>
                <w:szCs w:val="18"/>
              </w:rPr>
              <w:t xml:space="preserve">Leaders on About</w:t>
            </w:r>
          </w:p>
          <w:p>
            <w:pPr>
              <w:spacing w:after="40" w:line="252"/>
              <w:ind w:left="300" w:hanging="300"/>
            </w:pPr>
            <w:r>
              <w:rPr>
                <w:rFonts w:ascii="Arial" w:cs="Arial" w:eastAsia="Arial" w:hAnsi="Arial"/>
                <w:b/>
                <w:bCs/>
                <w:i w:val="false"/>
                <w:iCs w:val="false"/>
                <w:color w:val="1C0F2F"/>
                <w:sz w:val="17"/>
                <w:szCs w:val="17"/>
              </w:rPr>
              <w:t xml:space="preserve">(a) </w:t>
            </w:r>
            <w:r>
              <w:rPr>
                <w:rFonts w:ascii="Arial" w:cs="Arial" w:eastAsia="Arial" w:hAnsi="Arial"/>
                <w:b w:val="false"/>
                <w:bCs w:val="false"/>
                <w:i w:val="false"/>
                <w:iCs w:val="false"/>
                <w:color w:val="1C0F2F"/>
                <w:sz w:val="17"/>
                <w:szCs w:val="17"/>
              </w:rPr>
              <w:t xml:space="preserve">Which leaders should appear on About? The draft shows six from the corporate profile; Leadership shows all twelve.</w:t>
            </w:r>
          </w:p>
          <w:p>
            <w:pPr>
              <w:spacing w:after="40" w:line="252"/>
              <w:ind w:left="300" w:hanging="300"/>
            </w:pPr>
            <w:r>
              <w:rPr>
                <w:rFonts w:ascii="Arial" w:cs="Arial" w:eastAsia="Arial" w:hAnsi="Arial"/>
                <w:b/>
                <w:bCs/>
                <w:i w:val="false"/>
                <w:iCs w:val="false"/>
                <w:color w:val="1C0F2F"/>
                <w:sz w:val="17"/>
                <w:szCs w:val="17"/>
              </w:rPr>
              <w:t xml:space="preserve">(b) </w:t>
            </w:r>
            <w:r>
              <w:rPr>
                <w:rFonts w:ascii="Arial" w:cs="Arial" w:eastAsia="Arial" w:hAnsi="Arial"/>
                <w:b w:val="false"/>
                <w:bCs w:val="false"/>
                <w:i w:val="false"/>
                <w:iCs w:val="false"/>
                <w:color w:val="1C0F2F"/>
                <w:sz w:val="17"/>
                <w:szCs w:val="17"/>
              </w:rPr>
              <w:t xml:space="preserve">May their names and titles appear exactly as written in the corporate profile?</w:t>
            </w:r>
          </w:p>
        </w:tc>
        <w:tc>
          <w:tcPr>
            <w:tcW w:type="dxa" w:w="17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Readers checking the company look for the people behind it.</w:t>
            </w:r>
          </w:p>
        </w:tc>
        <w:tc>
          <w:tcPr>
            <w:tcW w:type="dxa" w:w="23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Six leaders from the corporate profile, with names and titles as written and no biographies.</w:t>
            </w:r>
          </w:p>
        </w:tc>
        <w:tc>
          <w:tcPr>
            <w:tcW w:type="dxa" w:w="18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About, Leadership</w:t>
            </w:r>
          </w:p>
        </w:tc>
        <w:tc>
          <w:tcPr>
            <w:tcW w:type="dxa" w:w="6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5A5266"/>
                <w:sz w:val="17"/>
                <w:szCs w:val="17"/>
              </w:rPr>
              <w:t xml:space="preserve">None</w:t>
            </w:r>
          </w:p>
        </w:tc>
        <w:tc>
          <w:tcPr>
            <w:tcW w:type="dxa" w:w="900"/>
            <w:tcBorders>
              <w:top w:val="single" w:color="C9C2D3" w:sz="4"/>
              <w:left w:val="single" w:color="C9C2D3" w:sz="4"/>
              <w:bottom w:val="single" w:color="C9C2D3" w:sz="4"/>
              <w:right w:val="single" w:color="C9C2D3" w:sz="4"/>
            </w:tcBorders>
            <w:tcMar>
              <w:top w:type="dxa" w:w="70"/>
              <w:left w:type="dxa" w:w="90"/>
              <w:bottom w:type="dxa" w:w="70"/>
              <w:right w:type="dxa" w:w="90"/>
            </w:tcMar>
            <w:vAlign w:val="top"/>
          </w:tcPr>
          <w:p>
            <w:pPr>
              <w:spacing w:after="0" w:before="0" w:line="264"/>
            </w:pPr>
            <w:r>
              <w:rPr>
                <w:rFonts w:ascii="Arial" w:cs="Arial" w:eastAsia="Arial" w:hAnsi="Arial"/>
                <w:b/>
                <w:bCs/>
                <w:i w:val="false"/>
                <w:iCs w:val="false"/>
                <w:color w:val="1C0F2F"/>
                <w:sz w:val="17"/>
                <w:szCs w:val="17"/>
              </w:rPr>
              <w:t xml:space="preserve">Before 2 Nov launch</w:t>
            </w:r>
          </w:p>
        </w:tc>
        <w:tc>
          <w:tcPr>
            <w:tcW w:type="dxa" w:w="2490"/>
            <w:tcBorders>
              <w:top w:val="single" w:color="C9C2D3" w:sz="4"/>
              <w:left w:val="single" w:color="C9C2D3" w:sz="4"/>
              <w:bottom w:val="single" w:color="C9C2D3" w:sz="4"/>
              <w:right w:val="single" w:color="C9C2D3" w:sz="4"/>
            </w:tcBorders>
            <w:shd w:fill="FFFCEF" w:color="auto" w:val="clear"/>
            <w:tcMar>
              <w:top w:type="dxa" w:w="70"/>
              <w:left w:type="dxa" w:w="90"/>
              <w:bottom w:type="dxa" w:w="70"/>
              <w:right w:type="dxa" w:w="90"/>
            </w:tcMar>
            <w:vAlign w:val="top"/>
          </w:tcPr>
          <w:p>
            <w:pPr>
              <w:spacing w:after="0" w:before="0" w:line="264"/>
            </w:pPr>
            <w:r>
              <w:rPr>
                <w:rFonts w:ascii="Arial" w:cs="Arial" w:eastAsia="Arial" w:hAnsi="Arial"/>
                <w:b w:val="false"/>
                <w:bCs w:val="false"/>
                <w:i w:val="false"/>
                <w:iCs w:val="false"/>
                <w:color w:val="1C0F2F"/>
                <w:sz w:val="17"/>
                <w:szCs w:val="17"/>
              </w:rPr>
              <w:t xml:space="preserve"/>
            </w:r>
          </w:p>
        </w:tc>
      </w:tr>
    </w:tbl>
    <w:sectPr>
      <w:footerReference w:type="default" r:id="rId8"/>
      <w:pgSz w:w="16838" w:h="11906" w:orient="landscape"/>
      <w:pgMar w:top="851" w:right="794" w:bottom="851" w:left="7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Text"/>
      <w:jc w:val="right"/>
    </w:pPr>
    <w:r>
      <w:rPr>
        <w:rFonts w:ascii="Arial" w:cs="Arial" w:eastAsia="Arial" w:hAnsi="Arial"/>
        <w:b w:val="false"/>
        <w:bCs w:val="false"/>
        <w:i w:val="false"/>
        <w:iCs w:val="false"/>
        <w:color w:val="5A5266"/>
        <w:sz w:val="16"/>
        <w:szCs w:val="16"/>
      </w:rPr>
      <w:t xml:space="preserve">ROOT by Aikyam website: open questions · Giraffe Partners for Aikyam · Page </w:t>
    </w:r>
    <w:r>
      <w:rPr>
        <w:rFonts w:ascii="Arial" w:cs="Arial" w:eastAsia="Arial" w:hAnsi="Arial"/>
        <w:color w:val="5A5266"/>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5A5266"/>
        <w:sz w:val="16"/>
        <w:szCs w:val="16"/>
      </w:rPr>
      <w:t xml:space="preserve"> of </w:t>
    </w:r>
    <w:r>
      <w:rPr>
        <w:rFonts w:ascii="Arial" w:cs="Arial" w:eastAsia="Arial" w:hAnsi="Arial"/>
        <w:color w:val="5A526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Text"/>
      <w:jc w:val="right"/>
    </w:pPr>
    <w:r>
      <w:rPr>
        <w:rFonts w:ascii="Arial" w:cs="Arial" w:eastAsia="Arial" w:hAnsi="Arial"/>
        <w:b w:val="false"/>
        <w:bCs w:val="false"/>
        <w:i w:val="false"/>
        <w:iCs w:val="false"/>
        <w:color w:val="5A5266"/>
        <w:sz w:val="16"/>
        <w:szCs w:val="16"/>
      </w:rPr>
      <w:t xml:space="preserve">ROOT by Aikyam website: open questions · Giraffe Partners for Aikyam · Page </w:t>
    </w:r>
    <w:r>
      <w:rPr>
        <w:rFonts w:ascii="Arial" w:cs="Arial" w:eastAsia="Arial" w:hAnsi="Arial"/>
        <w:color w:val="5A5266"/>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5A5266"/>
        <w:sz w:val="16"/>
        <w:szCs w:val="16"/>
      </w:rPr>
      <w:t xml:space="preserve"> of </w:t>
    </w:r>
    <w:r>
      <w:rPr>
        <w:rFonts w:ascii="Arial" w:cs="Arial" w:eastAsia="Arial" w:hAnsi="Arial"/>
        <w:color w:val="5A52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0F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Text">
    <w:name w:val="Foot Text"/>
    <w:basedOn w:val="Normal"/>
    <w:rPr>
      <w:rFonts w:ascii="Arial" w:cs="Arial" w:eastAsia="Arial" w:hAnsi="Arial"/>
      <w:color w:val="5A5266"/>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ROOT by Aikyam website: open questions</dc:title>
  <dc:creator>Giraffe Partners</dc:creator>
  <dc:description>Open questions for Aikyam, 13 October 2026 (update 2)</dc:description>
  <cp:lastModifiedBy>Un-named</cp:lastModifiedBy>
  <cp:revision>1</cp:revision>
  <dcterms:created xsi:type="dcterms:W3CDTF">2026-10-13T06:55:36.657Z</dcterms:created>
  <dcterms:modified xsi:type="dcterms:W3CDTF">2026-10-13T06:55:36.657Z</dcterms:modified>
</cp:coreProperties>
</file>

<file path=docProps/custom.xml><?xml version="1.0" encoding="utf-8"?>
<Properties xmlns="http://schemas.openxmlformats.org/officeDocument/2006/custom-properties" xmlns:vt="http://schemas.openxmlformats.org/officeDocument/2006/docPropsVTypes"/>
</file>