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C62E" w14:textId="764EF7C2" w:rsidR="00D2774C" w:rsidRPr="00D2774C" w:rsidRDefault="00D2774C" w:rsidP="00D2774C">
      <w:pPr>
        <w:jc w:val="center"/>
        <w:rPr>
          <w:rFonts w:ascii="Cambria" w:hAnsi="Cambria"/>
          <w:b/>
          <w:bCs/>
          <w:color w:val="C00000"/>
          <w:sz w:val="36"/>
          <w:szCs w:val="36"/>
        </w:rPr>
      </w:pPr>
      <w:r w:rsidRPr="00D2774C">
        <w:rPr>
          <w:rFonts w:ascii="Cambria" w:hAnsi="Cambria"/>
          <w:b/>
          <w:bCs/>
          <w:color w:val="C00000"/>
          <w:sz w:val="36"/>
          <w:szCs w:val="36"/>
        </w:rPr>
        <w:t>RAPPORT D’ANALYSE ET PREVISION DES VENTES</w:t>
      </w:r>
    </w:p>
    <w:p w14:paraId="30E0E4AF" w14:textId="77777777" w:rsidR="00D2774C" w:rsidRPr="00D2774C" w:rsidRDefault="00D2774C" w:rsidP="00D2774C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7BBAB65D" w14:textId="77777777" w:rsidR="00D2774C" w:rsidRPr="00D2774C" w:rsidRDefault="00D2774C" w:rsidP="00D2774C">
      <w:pPr>
        <w:rPr>
          <w:rFonts w:ascii="Cambria" w:hAnsi="Cambria"/>
          <w:b/>
          <w:bCs/>
        </w:rPr>
      </w:pPr>
      <w:r w:rsidRPr="00D2774C">
        <w:rPr>
          <w:rFonts w:ascii="Cambria" w:hAnsi="Cambria"/>
          <w:b/>
          <w:bCs/>
          <w:color w:val="C00000"/>
        </w:rPr>
        <w:t>1. Ventes historiques</w:t>
      </w:r>
    </w:p>
    <w:p w14:paraId="5F758819" w14:textId="77777777" w:rsidR="00CF4FD9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L’analyse des données de ventes sur l’année 2025 met en évidence une forte variabilité du chiffre d’affaires mensuel.</w:t>
      </w:r>
      <w:r w:rsidRPr="00D2774C">
        <w:rPr>
          <w:rFonts w:ascii="Cambria" w:hAnsi="Cambria"/>
        </w:rPr>
        <w:br/>
        <w:t xml:space="preserve">Les ventes fluctuent significativement d’un mois à l’autre. On observe des pics importants suivis de chutes brutales. </w:t>
      </w:r>
    </w:p>
    <w:p w14:paraId="44F2FDF4" w14:textId="181DE7E8" w:rsidR="00D2774C" w:rsidRPr="00D2774C" w:rsidRDefault="00CF4FD9" w:rsidP="00D2774C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E567FD4" wp14:editId="58944810">
            <wp:extent cx="5760720" cy="2880360"/>
            <wp:effectExtent l="0" t="0" r="0" b="0"/>
            <wp:docPr id="692371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1488" name="Image 692371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74C" w:rsidRPr="00D2774C">
        <w:rPr>
          <w:rFonts w:ascii="Cambria" w:hAnsi="Cambria"/>
        </w:rPr>
        <w:br/>
      </w:r>
      <w:r w:rsidR="00D2774C" w:rsidRPr="00D2774C">
        <w:rPr>
          <w:rFonts w:ascii="Cambria" w:hAnsi="Cambria"/>
        </w:rPr>
        <w:br/>
        <w:t>Cela indique un marché instable ou fortement influencé par des facteurs externes.</w:t>
      </w:r>
    </w:p>
    <w:p w14:paraId="39055055" w14:textId="77777777" w:rsidR="00D2774C" w:rsidRPr="00D2774C" w:rsidRDefault="00D2774C" w:rsidP="00D2774C">
      <w:pPr>
        <w:rPr>
          <w:rFonts w:ascii="Cambria" w:hAnsi="Cambria"/>
          <w:b/>
          <w:bCs/>
          <w:color w:val="C00000"/>
        </w:rPr>
      </w:pPr>
      <w:r w:rsidRPr="00D2774C">
        <w:rPr>
          <w:rFonts w:ascii="Cambria" w:hAnsi="Cambria"/>
          <w:b/>
          <w:bCs/>
          <w:color w:val="C00000"/>
        </w:rPr>
        <w:t>2. Tendances observées</w:t>
      </w:r>
    </w:p>
    <w:p w14:paraId="1BE7ACCA" w14:textId="37B2A26B" w:rsidR="00D2774C" w:rsidRPr="00D2774C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Les ventes ne suivent pas une progression régulière. Elles présentent une variabilité élevée avec une alternance de hausses et de baisses rapides.</w:t>
      </w:r>
      <w:r w:rsidRPr="00D2774C">
        <w:rPr>
          <w:rFonts w:ascii="Cambria" w:hAnsi="Cambria"/>
        </w:rPr>
        <w:br/>
      </w:r>
      <w:r w:rsidRPr="00D2774C">
        <w:rPr>
          <w:rFonts w:ascii="Cambria" w:hAnsi="Cambria"/>
        </w:rPr>
        <w:br/>
        <w:t>Une saisonnalité claire ne peut pas être identifiée en raison du nombre limité de données disponibles.</w:t>
      </w:r>
      <w:r w:rsidRPr="00D2774C">
        <w:rPr>
          <w:rFonts w:ascii="Cambria" w:hAnsi="Cambria"/>
        </w:rPr>
        <w:br/>
        <w:t>Le comportement global des ventes est irrégulier et difficile à modéliser avec une approche simple.</w:t>
      </w:r>
    </w:p>
    <w:p w14:paraId="21DC880B" w14:textId="77777777" w:rsidR="00D2774C" w:rsidRPr="00D2774C" w:rsidRDefault="00D2774C" w:rsidP="00D2774C">
      <w:pPr>
        <w:rPr>
          <w:rFonts w:ascii="Cambria" w:hAnsi="Cambria"/>
          <w:b/>
          <w:bCs/>
        </w:rPr>
      </w:pPr>
      <w:r w:rsidRPr="00D2774C">
        <w:rPr>
          <w:rFonts w:ascii="Cambria" w:hAnsi="Cambria"/>
          <w:b/>
          <w:bCs/>
          <w:color w:val="C00000"/>
        </w:rPr>
        <w:t>3. Prévisions des ventes futures</w:t>
      </w:r>
    </w:p>
    <w:p w14:paraId="245BCC7D" w14:textId="57B8DAB4" w:rsidR="00D2774C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Un modèle de régression linéaire a été utilisé pour estimer les ventes futures.</w:t>
      </w:r>
      <w:r w:rsidRPr="00D2774C">
        <w:rPr>
          <w:rFonts w:ascii="Cambria" w:hAnsi="Cambria"/>
        </w:rPr>
        <w:br/>
        <w:t>Le modèle fournit une tendance générale mais présente des écarts importants par rapport aux valeurs réelles. Les prédictions ont tendance à lisser les variations et ne reproduisent pas correctement les pics et les baisses observés.</w:t>
      </w:r>
    </w:p>
    <w:p w14:paraId="70B5424D" w14:textId="0436EAD8" w:rsidR="00CF4FD9" w:rsidRDefault="00313C9D" w:rsidP="00D2774C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49DC258D" wp14:editId="06924EFB">
            <wp:extent cx="5760720" cy="2880360"/>
            <wp:effectExtent l="0" t="0" r="0" b="0"/>
            <wp:docPr id="20997169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697" name="Image 2099716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BAC4" w14:textId="1508EF12" w:rsidR="00DD6891" w:rsidRPr="00DD6891" w:rsidRDefault="00FC4FF1" w:rsidP="00DD6891">
      <w:pPr>
        <w:rPr>
          <w:rFonts w:ascii="Cambria Math" w:hAnsi="Cambria Math" w:cs="Cambria Math"/>
        </w:rPr>
      </w:pPr>
      <w:r>
        <w:rPr>
          <w:rFonts w:ascii="Cambria" w:hAnsi="Cambria"/>
        </w:rPr>
        <w:t xml:space="preserve">Les ventes ont </w:t>
      </w:r>
      <w:r w:rsidR="00B6450C">
        <w:rPr>
          <w:rFonts w:ascii="Cambria" w:hAnsi="Cambria"/>
        </w:rPr>
        <w:t>augmenté</w:t>
      </w:r>
      <w:r>
        <w:rPr>
          <w:rFonts w:ascii="Cambria" w:hAnsi="Cambria"/>
        </w:rPr>
        <w:t xml:space="preserve"> pour le mois de Janvier </w:t>
      </w:r>
      <w:r w:rsidR="00B6450C">
        <w:rPr>
          <w:rFonts w:ascii="Cambria" w:hAnsi="Cambria"/>
        </w:rPr>
        <w:t xml:space="preserve">2026 </w:t>
      </w:r>
      <w:r w:rsidR="00B6450C" w:rsidRPr="00B6450C">
        <w:rPr>
          <w:rFonts w:ascii="Cambria" w:hAnsi="Cambria"/>
        </w:rPr>
        <w:t xml:space="preserve">pour </w:t>
      </w:r>
      <w:r w:rsidR="00B6450C" w:rsidRPr="00B6450C">
        <w:rPr>
          <w:rFonts w:ascii="Cambria Math" w:hAnsi="Cambria Math" w:cs="Cambria Math"/>
        </w:rPr>
        <w:t>≃ 2</w:t>
      </w:r>
      <w:r w:rsidR="00313C9D">
        <w:rPr>
          <w:rFonts w:ascii="Cambria Math" w:hAnsi="Cambria Math" w:cs="Cambria Math"/>
        </w:rPr>
        <w:t>1</w:t>
      </w:r>
      <w:r w:rsidR="00B6450C" w:rsidRPr="00B6450C">
        <w:rPr>
          <w:rFonts w:ascii="Cambria Math" w:hAnsi="Cambria Math" w:cs="Cambria Math"/>
        </w:rPr>
        <w:t>%</w:t>
      </w:r>
      <w:r w:rsidR="00DD6891">
        <w:rPr>
          <w:rFonts w:ascii="Cambria Math" w:hAnsi="Cambria Math" w:cs="Cambria Math"/>
        </w:rPr>
        <w:t xml:space="preserve"> allant jusqu’à </w:t>
      </w:r>
      <w:r w:rsidR="00313C9D">
        <w:rPr>
          <w:rFonts w:ascii="Cambria Math" w:hAnsi="Cambria Math" w:cs="Cambria Math"/>
        </w:rPr>
        <w:t>147 093,75</w:t>
      </w:r>
      <w:r w:rsidR="00DD6891">
        <w:rPr>
          <w:rFonts w:ascii="Cambria Math" w:hAnsi="Cambria Math" w:cs="Cambria Math"/>
        </w:rPr>
        <w:t xml:space="preserve"> </w:t>
      </w:r>
      <w:r w:rsidR="00DD6891" w:rsidRPr="00DD6891">
        <w:rPr>
          <w:rFonts w:ascii="Cambria Math" w:hAnsi="Cambria Math" w:cs="Cambria Math"/>
        </w:rPr>
        <w:t>€</w:t>
      </w:r>
      <w:r w:rsidR="00DD6891">
        <w:rPr>
          <w:rFonts w:ascii="Cambria Math" w:hAnsi="Cambria Math" w:cs="Cambria Math"/>
        </w:rPr>
        <w:t>.</w:t>
      </w:r>
    </w:p>
    <w:p w14:paraId="316444C9" w14:textId="229ABE4E" w:rsidR="00FC4FF1" w:rsidRPr="00B6450C" w:rsidRDefault="00FC4FF1" w:rsidP="00D2774C">
      <w:pPr>
        <w:rPr>
          <w:rFonts w:ascii="Cambria" w:hAnsi="Cambria"/>
        </w:rPr>
      </w:pPr>
    </w:p>
    <w:p w14:paraId="70C09D9E" w14:textId="77777777" w:rsidR="00D2774C" w:rsidRPr="00D2774C" w:rsidRDefault="00D2774C" w:rsidP="00D2774C">
      <w:pPr>
        <w:rPr>
          <w:rFonts w:ascii="Cambria" w:hAnsi="Cambria"/>
          <w:b/>
          <w:bCs/>
          <w:color w:val="C00000"/>
        </w:rPr>
      </w:pPr>
      <w:r w:rsidRPr="00D2774C">
        <w:rPr>
          <w:rFonts w:ascii="Cambria" w:hAnsi="Cambria"/>
          <w:b/>
          <w:bCs/>
          <w:color w:val="C00000"/>
        </w:rPr>
        <w:t>4. Limites de l’analyse</w:t>
      </w:r>
    </w:p>
    <w:p w14:paraId="286B97CF" w14:textId="77777777" w:rsidR="00D2774C" w:rsidRPr="00D2774C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Le dataset est limité à une seule année avec un faible nombre d’observations. Les données présentent une forte irrégularité et ne contiennent pas de variables explicatives supplémentaires.</w:t>
      </w:r>
      <w:r w:rsidRPr="00D2774C">
        <w:rPr>
          <w:rFonts w:ascii="Cambria" w:hAnsi="Cambria"/>
        </w:rPr>
        <w:br/>
      </w:r>
      <w:r w:rsidRPr="00D2774C">
        <w:rPr>
          <w:rFonts w:ascii="Cambria" w:hAnsi="Cambria"/>
        </w:rPr>
        <w:br/>
        <w:t>Ces limitations réduisent la capacité du modèle à produire des prévisions précises.</w:t>
      </w:r>
    </w:p>
    <w:p w14:paraId="42AB98C5" w14:textId="77777777" w:rsidR="00D2774C" w:rsidRPr="00D2774C" w:rsidRDefault="00D2774C" w:rsidP="00D2774C">
      <w:pPr>
        <w:rPr>
          <w:rFonts w:ascii="Cambria" w:hAnsi="Cambria"/>
          <w:b/>
          <w:bCs/>
        </w:rPr>
      </w:pPr>
      <w:r w:rsidRPr="00D2774C">
        <w:rPr>
          <w:rFonts w:ascii="Cambria" w:hAnsi="Cambria"/>
          <w:b/>
          <w:bCs/>
          <w:color w:val="C00000"/>
        </w:rPr>
        <w:t>5. Recommandations business</w:t>
      </w:r>
    </w:p>
    <w:p w14:paraId="011839F2" w14:textId="77777777" w:rsidR="002A760E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Il est recommandé de collecter des données sur plusieurs années afin d’identifier des tendances fiables.</w:t>
      </w:r>
      <w:r w:rsidRPr="00D2774C">
        <w:rPr>
          <w:rFonts w:ascii="Cambria" w:hAnsi="Cambria"/>
        </w:rPr>
        <w:br/>
        <w:t>Il est également important d’ajouter des variables telles que les promotions</w:t>
      </w:r>
      <w:r w:rsidR="002A760E">
        <w:rPr>
          <w:rFonts w:ascii="Cambria" w:hAnsi="Cambria"/>
        </w:rPr>
        <w:t xml:space="preserve"> </w:t>
      </w:r>
      <w:r w:rsidRPr="00D2774C">
        <w:rPr>
          <w:rFonts w:ascii="Cambria" w:hAnsi="Cambria"/>
        </w:rPr>
        <w:t>ou la disponibilité des produits.</w:t>
      </w:r>
      <w:r w:rsidRPr="00D2774C">
        <w:rPr>
          <w:rFonts w:ascii="Cambria" w:hAnsi="Cambria"/>
        </w:rPr>
        <w:br/>
        <w:t>Une analyse par produit et par région permettrait d’identifier les segments les plus performants et d’optimiser les stratégies commerciales.</w:t>
      </w:r>
    </w:p>
    <w:p w14:paraId="1C18D122" w14:textId="037805AF" w:rsidR="00D2774C" w:rsidRDefault="002A760E" w:rsidP="00D2774C">
      <w:pPr>
        <w:rPr>
          <w:rFonts w:ascii="Cambria" w:hAnsi="Cambria"/>
        </w:rPr>
      </w:pPr>
      <w:r>
        <w:rPr>
          <w:rFonts w:ascii="Cambria" w:hAnsi="Cambria"/>
        </w:rPr>
        <w:t>Pour les produits les plus vendus, il est recommandé de toujours en avoir en stock pour ne pas avoir des carences et conce</w:t>
      </w:r>
      <w:r w:rsidR="00FC4FF1">
        <w:rPr>
          <w:rFonts w:ascii="Cambria" w:hAnsi="Cambria"/>
        </w:rPr>
        <w:t>r</w:t>
      </w:r>
      <w:r>
        <w:rPr>
          <w:rFonts w:ascii="Cambria" w:hAnsi="Cambria"/>
        </w:rPr>
        <w:t>nant ceux qui sont moins vendus, f</w:t>
      </w:r>
      <w:r w:rsidR="00FC4FF1">
        <w:rPr>
          <w:rFonts w:ascii="Cambria" w:hAnsi="Cambria"/>
        </w:rPr>
        <w:t>ai</w:t>
      </w:r>
      <w:r>
        <w:rPr>
          <w:rFonts w:ascii="Cambria" w:hAnsi="Cambria"/>
        </w:rPr>
        <w:t>re des promotions pour attirer la client</w:t>
      </w:r>
      <w:r w:rsidR="00FC4FF1">
        <w:rPr>
          <w:rFonts w:ascii="Cambria" w:hAnsi="Cambria"/>
        </w:rPr>
        <w:t>è</w:t>
      </w:r>
      <w:r>
        <w:rPr>
          <w:rFonts w:ascii="Cambria" w:hAnsi="Cambria"/>
        </w:rPr>
        <w:t>le.</w:t>
      </w:r>
      <w:r w:rsidR="00D2774C" w:rsidRPr="00D2774C">
        <w:rPr>
          <w:rFonts w:ascii="Cambria" w:hAnsi="Cambria"/>
        </w:rPr>
        <w:br/>
        <w:t>Enfin, il est conseillé d’anticiper les périodes de baisse en mettant en place des actions marketing adaptées.</w:t>
      </w:r>
      <w:r>
        <w:rPr>
          <w:rFonts w:ascii="Cambria" w:hAnsi="Cambria"/>
        </w:rPr>
        <w:t xml:space="preserve"> </w:t>
      </w:r>
    </w:p>
    <w:p w14:paraId="4F05EDA1" w14:textId="77777777" w:rsidR="00FC4FF1" w:rsidRPr="002A760E" w:rsidRDefault="00FC4FF1" w:rsidP="00D2774C">
      <w:pPr>
        <w:rPr>
          <w:rFonts w:ascii="Cambria" w:hAnsi="Cambria"/>
        </w:rPr>
      </w:pPr>
    </w:p>
    <w:p w14:paraId="34595946" w14:textId="7D96C537" w:rsidR="00D2774C" w:rsidRPr="00D2774C" w:rsidRDefault="00D2774C" w:rsidP="00D2774C">
      <w:pPr>
        <w:rPr>
          <w:rFonts w:ascii="Cambria" w:hAnsi="Cambria"/>
          <w:b/>
          <w:bCs/>
          <w:color w:val="C00000"/>
        </w:rPr>
      </w:pPr>
      <w:r w:rsidRPr="00D2774C">
        <w:rPr>
          <w:rFonts w:ascii="Cambria" w:hAnsi="Cambria"/>
          <w:b/>
          <w:bCs/>
          <w:color w:val="C00000"/>
        </w:rPr>
        <w:t>6. Conclusion</w:t>
      </w:r>
    </w:p>
    <w:p w14:paraId="62C293C4" w14:textId="1E82F9DA" w:rsidR="00D2774C" w:rsidRPr="00D2774C" w:rsidRDefault="00D2774C" w:rsidP="00D2774C">
      <w:pPr>
        <w:rPr>
          <w:rFonts w:ascii="Cambria" w:hAnsi="Cambria"/>
        </w:rPr>
      </w:pPr>
      <w:r w:rsidRPr="00D2774C">
        <w:rPr>
          <w:rFonts w:ascii="Cambria" w:hAnsi="Cambria"/>
        </w:rPr>
        <w:t>L’analyse met en évidence une forte instabilité des ventes mensuelles, rendant leur prévision complexe.</w:t>
      </w:r>
      <w:r w:rsidRPr="00D2774C">
        <w:rPr>
          <w:rFonts w:ascii="Cambria" w:hAnsi="Cambria"/>
        </w:rPr>
        <w:br/>
        <w:t>Le modèle utilisé permet d’obtenir une estimation générale, mais reste limité face à la variabilité des données.</w:t>
      </w:r>
      <w:r w:rsidRPr="00D2774C">
        <w:rPr>
          <w:rFonts w:ascii="Cambria" w:hAnsi="Cambria"/>
        </w:rPr>
        <w:br/>
        <w:t>L’amélioration de la qualité et de la quantité des données est essentielle pour affiner les prévisions et soutenir la prise de décision.</w:t>
      </w:r>
    </w:p>
    <w:p w14:paraId="266AB79C" w14:textId="77777777" w:rsidR="002509A3" w:rsidRPr="00D2774C" w:rsidRDefault="002509A3">
      <w:pPr>
        <w:rPr>
          <w:rFonts w:ascii="Cambria" w:hAnsi="Cambria"/>
        </w:rPr>
      </w:pPr>
    </w:p>
    <w:sectPr w:rsidR="002509A3" w:rsidRPr="00D27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4C"/>
    <w:rsid w:val="0012156C"/>
    <w:rsid w:val="002509A3"/>
    <w:rsid w:val="00257950"/>
    <w:rsid w:val="002A760E"/>
    <w:rsid w:val="002C77E4"/>
    <w:rsid w:val="00313C9D"/>
    <w:rsid w:val="005D32C9"/>
    <w:rsid w:val="009706FD"/>
    <w:rsid w:val="00B6450C"/>
    <w:rsid w:val="00BB3F52"/>
    <w:rsid w:val="00CF4FD9"/>
    <w:rsid w:val="00D2774C"/>
    <w:rsid w:val="00DD6891"/>
    <w:rsid w:val="00F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F9D0"/>
  <w15:chartTrackingRefBased/>
  <w15:docId w15:val="{6C2533D3-C48F-40D8-8F65-7EB26607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74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74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7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7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7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7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7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7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74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74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 Nim Tchoq</dc:creator>
  <cp:keywords/>
  <dc:description/>
  <cp:lastModifiedBy>Bedi Nim Tchoq</cp:lastModifiedBy>
  <cp:revision>5</cp:revision>
  <dcterms:created xsi:type="dcterms:W3CDTF">2026-04-27T08:09:00Z</dcterms:created>
  <dcterms:modified xsi:type="dcterms:W3CDTF">2026-04-27T14:11:00Z</dcterms:modified>
</cp:coreProperties>
</file>