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4: Residual Denoising Backbone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Replace the U-Net denoising backbone with a ResNet-style residual backbone under the same diffusion task.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proposed residual backbone improves structural and color-oriented metrics over the default baseline.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residual blocks and residual denoising backbone.</w:t>
      </w:r>
    </w:p>
    <w:p>
      <w:pPr>
        <w:pStyle w:val="ListBullet"/>
        <w:spacing w:after="20"/>
      </w:pPr>
      <w:r>
        <w:t>Trained the residual model using the same paired split and objective.</w:t>
      </w:r>
    </w:p>
    <w:p>
      <w:pPr>
        <w:pStyle w:val="ListBullet"/>
        <w:spacing w:after="20"/>
      </w:pPr>
      <w:r>
        <w:t>Compared residual and baseline outputs across three seeds on the same 384 test images.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U-Net mean +/- SD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Residual mean +/- SD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0.039873 +/- 0.001756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0.038782 +/- 0.003119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15.780514 +/- 0.187075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16.006089 +/- 0.267086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0.657180 +/- 0.015721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0.779948 +/- 0.006607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28.380208 +/- 1.320879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27.053617 +/- 1.081249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Residual has better mean SSIM and Delta E than the default U-Net; topology, depth, and capacity differ together.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29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ct_default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2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Matching default U-Net and residual restoration examples.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