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Checkpoint 5: Full Results</w:t>
      </w:r>
    </w:p>
    <w:p>
      <w:pPr>
        <w:spacing w:before="140" w:after="40"/>
      </w:pPr>
      <w:r>
        <w:rPr>
          <w:rFonts w:ascii="Arial" w:hAnsi="Arial"/>
          <w:b/>
          <w:sz w:val="24"/>
        </w:rPr>
        <w:t>Objective</w:t>
      </w:r>
    </w:p>
    <w:p>
      <w:pPr>
        <w:spacing w:after="60"/>
        <w:jc w:val="both"/>
      </w:pPr>
      <w:r>
        <w:t>Evaluate the three main models on the grouped 384-image test split across three seeds.</w:t>
      </w:r>
    </w:p>
    <w:p>
      <w:pPr>
        <w:spacing w:before="140" w:after="40"/>
      </w:pPr>
      <w:r>
        <w:rPr>
          <w:rFonts w:ascii="Arial" w:hAnsi="Arial"/>
          <w:b/>
          <w:sz w:val="24"/>
        </w:rPr>
        <w:t>Key Message</w:t>
      </w:r>
    </w:p>
    <w:p>
      <w:pPr>
        <w:spacing w:before="40" w:after="100"/>
        <w:jc w:val="center"/>
      </w:pPr>
      <w:r>
        <w:rPr>
          <w:b/>
          <w:sz w:val="22"/>
        </w:rPr>
        <w:t>Every final quantitative claim uses the same grouped test list and reports mean +/- sample SD.</w:t>
      </w:r>
    </w:p>
    <w:p>
      <w:pPr>
        <w:spacing w:before="140" w:after="40"/>
      </w:pPr>
      <w:r>
        <w:rPr>
          <w:rFonts w:ascii="Arial" w:hAnsi="Arial"/>
          <w:b/>
          <w:sz w:val="24"/>
        </w:rPr>
        <w:t>Completed Work</w:t>
      </w:r>
    </w:p>
    <w:p>
      <w:pPr>
        <w:pStyle w:val="ListBullet"/>
        <w:spacing w:after="20"/>
      </w:pPr>
      <w:r>
        <w:t>Evaluated 128x128 50-epoch baseline and residual models.</w:t>
      </w:r>
    </w:p>
    <w:p>
      <w:pPr>
        <w:pStyle w:val="ListBullet"/>
        <w:spacing w:after="20"/>
      </w:pPr>
      <w:r>
        <w:t>Evaluated default, parameter-matched, and residual models across three seeds.</w:t>
      </w:r>
    </w:p>
    <w:p>
      <w:pPr>
        <w:pStyle w:val="ListBullet"/>
        <w:spacing w:after="20"/>
      </w:pPr>
      <w:r>
        <w:t>Generated grouped aggregate metric summary.</w:t>
      </w:r>
    </w:p>
    <w:p>
      <w:pPr>
        <w:spacing w:before="140" w:after="40"/>
      </w:pPr>
      <w:r>
        <w:rPr>
          <w:rFonts w:ascii="Arial" w:hAnsi="Arial"/>
          <w:b/>
          <w:sz w:val="24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Experiment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PSNR mean +/- SD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SSIM mean +/- SD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Delta E mean +/- SD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U-Net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15.780514 +/- 0.187075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0.657180 +/- 0.015721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28.380208 +/- 1.320879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Matched U-Net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16.017719 +/- 0.277610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0.722221 +/- 0.022096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27.590478 +/- 2.280969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Residual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16.006089 +/- 0.267086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0.779948 +/- 0.006607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27.053617 +/- 1.081249</w:t>
            </w:r>
          </w:p>
        </w:tc>
      </w:tr>
    </w:tbl>
    <w:p>
      <w:pPr>
        <w:spacing w:before="140" w:after="40"/>
      </w:pPr>
      <w:r>
        <w:rPr>
          <w:rFonts w:ascii="Arial" w:hAnsi="Arial"/>
          <w:b/>
          <w:sz w:val="24"/>
        </w:rPr>
        <w:t>Notes</w:t>
      </w:r>
    </w:p>
    <w:p>
      <w:pPr>
        <w:pStyle w:val="ListBullet"/>
        <w:spacing w:after="20"/>
      </w:pPr>
      <w:r>
        <w:t>Earlier duration and resolution ablations used the superseded split and are excluded from final claims.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i/>
          <w:sz w:val="17"/>
        </w:rPr>
        <w:t>Training and validation loss curves.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25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e_cie76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i/>
          <w:sz w:val="17"/>
        </w:rPr>
        <w:t>Delta E comparison across experiments.</w:t>
      </w: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