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6: Parameter-Matched Capacity Control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Check whether the main architecture comparison is explained by parameter count.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capacity control makes the final claim honest: matched U-Net leads pixel metrics while residual leads mean SSIM and Delta E.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Completed parameter-matched U-Net capacity control with base_channels=42.</w:t>
      </w:r>
    </w:p>
    <w:p>
      <w:pPr>
        <w:pStyle w:val="ListBullet"/>
        <w:spacing w:after="20"/>
      </w:pPr>
      <w:r>
        <w:t>Compared parameter-matched U-Net with the residual model.</w:t>
      </w:r>
    </w:p>
    <w:p>
      <w:pPr>
        <w:pStyle w:val="ListBullet"/>
        <w:spacing w:after="20"/>
      </w:pPr>
      <w:r>
        <w:t>Qualified the final conclusion using metric-specific capacity-control evidence.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Matched U-Net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Residual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Mean leader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0.038056 +/- 0.002727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0.038782 +/- 0.003119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16.017719 +/- 0.277610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16.006089 +/- 0.267086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0.722221 +/- 0.022096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0.779948 +/- 0.006607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27.590478 +/- 2.280969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27.053617 +/- 1.081249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Entropy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4.946796 +/- 0.060048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4.565555 +/- 0.202586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Descriptive only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The residual model leads on SSIM and Delta E; the matched U-Net leads on MSE, MAE, and PSNR.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29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ct_capacity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Matching parameter-matched U-Net and residual restoration examples.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