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Checkpoint 5: Full Results</w:t>
      </w:r>
    </w:p>
    <w:p>
      <w:pPr>
        <w:spacing w:before="140" w:after="40"/>
      </w:pPr>
      <w:r>
        <w:rPr>
          <w:b/>
          <w:sz w:val="24"/>
        </w:rPr>
        <w:t>Objective</w:t>
      </w:r>
    </w:p>
    <w:p>
      <w:pPr>
        <w:spacing w:after="60"/>
        <w:jc w:val="both"/>
      </w:pPr>
      <w:r>
        <w:t>Evaluate main models and ablations on the fixed 368-image test split.</w:t>
      </w:r>
    </w:p>
    <w:p>
      <w:pPr>
        <w:spacing w:before="140" w:after="40"/>
      </w:pPr>
      <w:r>
        <w:rPr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complete result table is ready and uses the same test split for every quantitative claim.</w:t>
      </w:r>
    </w:p>
    <w:p>
      <w:pPr>
        <w:spacing w:before="140" w:after="40"/>
      </w:pPr>
      <w:r>
        <w:rPr>
          <w:b/>
          <w:sz w:val="24"/>
        </w:rPr>
        <w:t>Completed Work</w:t>
      </w:r>
    </w:p>
    <w:p>
      <w:pPr>
        <w:pStyle w:val="ListBullet"/>
        <w:spacing w:after="20"/>
      </w:pPr>
      <w:r>
        <w:t>Evaluated 128x128 50-epoch baseline and residual models.</w:t>
      </w:r>
    </w:p>
    <w:p>
      <w:pPr>
        <w:pStyle w:val="ListBullet"/>
        <w:spacing w:after="20"/>
      </w:pPr>
      <w:r>
        <w:t>Evaluated 100-epoch training variants.</w:t>
      </w:r>
    </w:p>
    <w:p>
      <w:pPr>
        <w:pStyle w:val="ListBullet"/>
        <w:spacing w:after="20"/>
      </w:pPr>
      <w:r>
        <w:t>Evaluated 256x256 resolution variants.</w:t>
      </w:r>
    </w:p>
    <w:p>
      <w:pPr>
        <w:pStyle w:val="ListBullet"/>
        <w:spacing w:after="20"/>
      </w:pPr>
      <w:r>
        <w:t>Generated final metric summary and plots.</w:t>
      </w:r>
    </w:p>
    <w:p>
      <w:pPr>
        <w:spacing w:before="140" w:after="40"/>
      </w:pPr>
      <w:r>
        <w:rPr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Experiment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PSNR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SSIM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F4E79"/>
                <w:sz w:val="17"/>
              </w:rPr>
              <w:t>Delta E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U-Net 128/50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15.681501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0.610758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29.645203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Residual 128/50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16.304393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0.788963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26.840257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U-Net 128/100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15.976561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0.623376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28.571008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Residual 128/100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16.352538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0.785447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26.866293</w:t>
            </w:r>
          </w:p>
        </w:tc>
      </w:tr>
      <w:tr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Residual 256/50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15.900427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0.807967</w:t>
            </w:r>
          </w:p>
        </w:tc>
        <w:tc>
          <w:tcPr>
            <w:tcW w:type="dxa" w:w="2520"/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27.078848</w:t>
            </w:r>
          </w:p>
        </w:tc>
      </w:tr>
    </w:tbl>
    <w:p/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Training and validation loss curves.</w:t>
      </w:r>
    </w:p>
    <w:p>
      <w:pPr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3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_e_cie76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sz w:val="17"/>
        </w:rPr>
        <w:t>Delta E comparison across experiments.</w:t>
      </w:r>
    </w:p>
    <w:p>
      <w:pPr>
        <w:spacing w:before="140" w:after="40"/>
      </w:pPr>
      <w:r>
        <w:rPr>
          <w:b/>
          <w:sz w:val="24"/>
        </w:rPr>
        <w:t>Notes</w:t>
      </w:r>
    </w:p>
    <w:p>
      <w:pPr>
        <w:pStyle w:val="ListBullet"/>
        <w:spacing w:after="20"/>
      </w:pPr>
      <w:r>
        <w:t>Longer training helps the baseline but does not make it structurally stronger than the residual model.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