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4: ResNet-Style Residual Backbone</w:t>
      </w:r>
    </w:p>
    <w:p>
      <w:pPr>
        <w:pStyle w:val="Heading2"/>
      </w:pPr>
      <w:r>
        <w:t>Objective</w:t>
      </w:r>
    </w:p>
    <w:p>
      <w:r>
        <w:t>Implement the proposed residual denoising backbone while keeping the diffusion task unchanged.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Implemented ResNet-style residual blocks.</w:t>
      </w:r>
    </w:p>
    <w:p>
      <w:pPr>
        <w:pStyle w:val="ListBullet"/>
      </w:pPr>
      <w:r>
        <w:t>Implemented residual U-Net denoising backbone.</w:t>
      </w:r>
    </w:p>
    <w:p>
      <w:pPr>
        <w:pStyle w:val="ListBullet"/>
      </w:pPr>
      <w:r>
        <w:t>Compared parameter counts and verified forward/training tests.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Residual training CSV</w:t>
      </w:r>
    </w:p>
    <w:p>
      <w:pPr>
        <w:pStyle w:val="ListBullet"/>
      </w:pPr>
      <w:r>
        <w:t>Residual checkpoints</w:t>
      </w:r>
    </w:p>
    <w:p>
      <w:pPr>
        <w:pStyle w:val="ListBullet"/>
      </w:pPr>
      <w:r>
        <w:t>Baseline vs residual metric table</w:t>
      </w:r>
    </w:p>
    <w:p>
      <w:pPr>
        <w:pStyle w:val="Heading2"/>
      </w:pPr>
      <w:r>
        <w:t>Limitations / Notes</w:t>
      </w:r>
    </w:p>
    <w:p>
      <w:r>
        <w:t>This checkpoint summarizes progress evidence. Final quantitative claims are based on the fixed 368-image paired test split.</w:t>
      </w:r>
    </w:p>
    <w:p>
      <w:pPr>
        <w:pStyle w:val="Heading2"/>
      </w:pPr>
      <w:r>
        <w:t>Next Step</w:t>
      </w:r>
    </w:p>
    <w:p>
      <w:r>
        <w:t>Run full-scale evaluation and ablation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