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6: Ablation and Generalization</w:t>
      </w:r>
    </w:p>
    <w:p>
      <w:pPr>
        <w:pStyle w:val="Heading2"/>
      </w:pPr>
      <w:r>
        <w:t>Objective</w:t>
      </w:r>
    </w:p>
    <w:p>
      <w:r>
        <w:t>Analyze resolution, training duration, model capacity, and cross-dataset qualitative behavior.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Completed 128 vs 256 resolution ablation.</w:t>
      </w:r>
    </w:p>
    <w:p>
      <w:pPr>
        <w:pStyle w:val="ListBullet"/>
      </w:pPr>
      <w:r>
        <w:t>Completed 50 vs 100 epoch comparison.</w:t>
      </w:r>
    </w:p>
    <w:p>
      <w:pPr>
        <w:pStyle w:val="ListBullet"/>
      </w:pPr>
      <w:r>
        <w:t>Applied residual model to unpaired turbid images and video-derived frames.</w:t>
      </w:r>
    </w:p>
    <w:p>
      <w:pPr>
        <w:pStyle w:val="ListBullet"/>
      </w:pPr>
      <w:r>
        <w:t>Completed parameter-matched U-Net capacity control with base_channels=42.</w:t>
      </w:r>
    </w:p>
    <w:p>
      <w:pPr>
        <w:pStyle w:val="ListBullet"/>
      </w:pPr>
      <w:r>
        <w:t>Finalized interpretation: residual backbone is strongest on SSIM, Delta E, and entropy; parameter-matched U-Net is strongest on MSE, MAE, and PSNR.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Resolution ablation table</w:t>
      </w:r>
    </w:p>
    <w:p>
      <w:pPr>
        <w:pStyle w:val="ListBullet"/>
      </w:pPr>
      <w:r>
        <w:t>Capacity-control metric table</w:t>
      </w:r>
    </w:p>
    <w:p>
      <w:pPr>
        <w:pStyle w:val="ListBullet"/>
      </w:pPr>
      <w:r>
        <w:t>External inference outputs</w:t>
      </w:r>
    </w:p>
    <w:p>
      <w:pPr>
        <w:pStyle w:val="ListBullet"/>
      </w:pPr>
      <w:r>
        <w:t>Failure analysis examples</w:t>
      </w:r>
    </w:p>
    <w:p>
      <w:pPr>
        <w:pStyle w:val="Heading2"/>
      </w:pPr>
      <w:r>
        <w:t>Limitations / Notes</w:t>
      </w:r>
    </w:p>
    <w:p>
      <w:r>
        <w:t>This checkpoint summarizes progress evidence. Final quantitative claims are based on the fixed 368-image paired test split.</w:t>
      </w:r>
    </w:p>
    <w:p>
      <w:pPr>
        <w:pStyle w:val="Heading2"/>
      </w:pPr>
      <w:r>
        <w:t>Next Step</w:t>
      </w:r>
    </w:p>
    <w:p>
      <w:r>
        <w:t>Submit the final report and presentation materials.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