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4: ResNet-Style Residual Backbone</w:t>
      </w:r>
    </w:p>
    <w:p>
      <w:pPr>
        <w:pStyle w:val="Heading2"/>
      </w:pPr>
      <w:r>
        <w:t>Objective</w:t>
      </w:r>
    </w:p>
    <w:p>
      <w:r>
        <w:t>Implement the proposed residual denoising backbone while keeping the diffusion task unchanged.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Implemented ResNet-style residual blocks.</w:t>
      </w:r>
    </w:p>
    <w:p>
      <w:pPr>
        <w:pStyle w:val="ListBullet"/>
      </w:pPr>
      <w:r>
        <w:t>Implemented residual U-Net denoising backbone.</w:t>
      </w:r>
    </w:p>
    <w:p>
      <w:pPr>
        <w:pStyle w:val="ListBullet"/>
      </w:pPr>
      <w:r>
        <w:t>Compared parameter counts and verified forward/training tests.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Residual training CSV</w:t>
      </w:r>
    </w:p>
    <w:p>
      <w:pPr>
        <w:pStyle w:val="ListBullet"/>
      </w:pPr>
      <w:r>
        <w:t>Residual checkpoints</w:t>
      </w:r>
    </w:p>
    <w:p>
      <w:pPr>
        <w:pStyle w:val="ListBullet"/>
      </w:pPr>
      <w:r>
        <w:t>Baseline vs residual metric table</w:t>
      </w:r>
    </w:p>
    <w:p>
      <w:pPr>
        <w:pStyle w:val="Heading2"/>
      </w:pPr>
      <w:r>
        <w:t>Limitations / Notes</w:t>
      </w:r>
    </w:p>
    <w:p>
      <w:r>
        <w:t>This checkpoint summarizes progress evidence. Full quantitative claims should be made only after full test-set evaluation.</w:t>
      </w:r>
    </w:p>
    <w:p>
      <w:pPr>
        <w:pStyle w:val="Heading2"/>
      </w:pPr>
      <w:r>
        <w:t>Next Step</w:t>
      </w:r>
    </w:p>
    <w:p>
      <w:r>
        <w:t>Run full-scale evaluation and ablation studies.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