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5: Full Training Results</w:t>
      </w:r>
    </w:p>
    <w:p>
      <w:pPr>
        <w:pStyle w:val="Heading2"/>
      </w:pPr>
      <w:r>
        <w:t>Objective</w:t>
      </w:r>
    </w:p>
    <w:p>
      <w:r>
        <w:t>Evaluate baseline and residual models on the 368-image test split.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Evaluated 128x128 50-epoch baseline and residual models.</w:t>
      </w:r>
    </w:p>
    <w:p>
      <w:pPr>
        <w:pStyle w:val="ListBullet"/>
      </w:pPr>
      <w:r>
        <w:t>Extended both models to 100 epochs.</w:t>
      </w:r>
    </w:p>
    <w:p>
      <w:pPr>
        <w:pStyle w:val="ListBullet"/>
      </w:pPr>
      <w:r>
        <w:t>Computed MSE, MAE, PSNR, SSIM, Delta E, and entropy.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Full metric CSV files</w:t>
      </w:r>
    </w:p>
    <w:p>
      <w:pPr>
        <w:pStyle w:val="ListBullet"/>
      </w:pPr>
      <w:r>
        <w:t>Comparison grids</w:t>
      </w:r>
    </w:p>
    <w:p>
      <w:pPr>
        <w:pStyle w:val="ListBullet"/>
      </w:pPr>
      <w:r>
        <w:t>Training loss curves</w:t>
      </w:r>
    </w:p>
    <w:p>
      <w:pPr>
        <w:pStyle w:val="Heading2"/>
      </w:pPr>
      <w:r>
        <w:t>Limitations / Notes</w:t>
      </w:r>
    </w:p>
    <w:p>
      <w:r>
        <w:t>This checkpoint summarizes progress evidence. Full quantitative claims should be made only after full test-set evaluation.</w:t>
      </w:r>
    </w:p>
    <w:p>
      <w:pPr>
        <w:pStyle w:val="Heading2"/>
      </w:pPr>
      <w:r>
        <w:t>Next Step</w:t>
      </w:r>
    </w:p>
    <w:p>
      <w:r>
        <w:t>Perform resolution and capacity ablations.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