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6: Ablation and Generalization</w:t>
      </w:r>
    </w:p>
    <w:p>
      <w:pPr>
        <w:pStyle w:val="Heading2"/>
      </w:pPr>
      <w:r>
        <w:t>Objective</w:t>
      </w:r>
    </w:p>
    <w:p>
      <w:r>
        <w:t>Analyze resolution, training duration, model capacity, and cross-dataset qualitative behavior.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Completed 128 vs 256 resolution ablation.</w:t>
      </w:r>
    </w:p>
    <w:p>
      <w:pPr>
        <w:pStyle w:val="ListBullet"/>
      </w:pPr>
      <w:r>
        <w:t>Completed 50 vs 100 epoch comparison.</w:t>
      </w:r>
    </w:p>
    <w:p>
      <w:pPr>
        <w:pStyle w:val="ListBullet"/>
      </w:pPr>
      <w:r>
        <w:t>Applied residual model to unpaired turbid images and video-derived frames.</w:t>
      </w:r>
    </w:p>
    <w:p>
      <w:pPr>
        <w:pStyle w:val="ListBullet"/>
      </w:pPr>
      <w:r>
        <w:t>Planned parameter-matched U-Net capacity control.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Resolution ablation table</w:t>
      </w:r>
    </w:p>
    <w:p>
      <w:pPr>
        <w:pStyle w:val="ListBullet"/>
      </w:pPr>
      <w:r>
        <w:t>External inference outputs</w:t>
      </w:r>
    </w:p>
    <w:p>
      <w:pPr>
        <w:pStyle w:val="ListBullet"/>
      </w:pPr>
      <w:r>
        <w:t>Failure analysis examples</w:t>
      </w:r>
    </w:p>
    <w:p>
      <w:pPr>
        <w:pStyle w:val="Heading2"/>
      </w:pPr>
      <w:r>
        <w:t>Limitations / Notes</w:t>
      </w:r>
    </w:p>
    <w:p>
      <w:r>
        <w:t>This checkpoint summarizes progress evidence. Full quantitative claims should be made only after full test-set evaluation.</w:t>
      </w:r>
    </w:p>
    <w:p>
      <w:pPr>
        <w:pStyle w:val="Heading2"/>
      </w:pPr>
      <w:r>
        <w:t>Next Step</w:t>
      </w:r>
    </w:p>
    <w:p>
      <w:r>
        <w:t>Freeze experiments and prepare the final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