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Checkpoint 4: Residual Denoising Backbone</w:t>
      </w:r>
    </w:p>
    <w:p>
      <w:pPr>
        <w:spacing w:before="140" w:after="40"/>
      </w:pPr>
      <w:r>
        <w:rPr>
          <w:rFonts w:ascii="Arial" w:hAnsi="Arial"/>
          <w:b/>
          <w:sz w:val="24"/>
        </w:rPr>
        <w:t>Objective</w:t>
      </w:r>
    </w:p>
    <w:p>
      <w:pPr>
        <w:spacing w:after="60"/>
        <w:jc w:val="both"/>
      </w:pPr>
      <w:r>
        <w:t>Replace the U-Net denoising backbone with a ResNet-style residual backbone under the same diffusion task.</w:t>
      </w:r>
    </w:p>
    <w:p>
      <w:pPr>
        <w:spacing w:before="140" w:after="40"/>
      </w:pPr>
      <w:r>
        <w:rPr>
          <w:rFonts w:ascii="Arial" w:hAnsi="Arial"/>
          <w:b/>
          <w:sz w:val="24"/>
        </w:rPr>
        <w:t>Key Message</w:t>
      </w:r>
    </w:p>
    <w:p>
      <w:pPr>
        <w:spacing w:before="40" w:after="100"/>
        <w:jc w:val="center"/>
      </w:pPr>
      <w:r>
        <w:rPr>
          <w:b/>
          <w:sz w:val="22"/>
        </w:rPr>
        <w:t>The proposed residual backbone improves structural and color-oriented metrics over the default baseline.</w:t>
      </w:r>
    </w:p>
    <w:p>
      <w:pPr>
        <w:spacing w:before="140" w:after="40"/>
      </w:pPr>
      <w:r>
        <w:rPr>
          <w:rFonts w:ascii="Arial" w:hAnsi="Arial"/>
          <w:b/>
          <w:sz w:val="24"/>
        </w:rPr>
        <w:t>Completed Work</w:t>
      </w:r>
    </w:p>
    <w:p>
      <w:pPr>
        <w:pStyle w:val="ListBullet"/>
        <w:spacing w:after="20"/>
      </w:pPr>
      <w:r>
        <w:t>Implemented residual blocks and residual denoising backbone.</w:t>
      </w:r>
    </w:p>
    <w:p>
      <w:pPr>
        <w:pStyle w:val="ListBullet"/>
        <w:spacing w:after="20"/>
      </w:pPr>
      <w:r>
        <w:t>Trained the residual model using the same paired split and objective.</w:t>
      </w:r>
    </w:p>
    <w:p>
      <w:pPr>
        <w:pStyle w:val="ListBullet"/>
        <w:spacing w:after="20"/>
      </w:pPr>
      <w:r>
        <w:t>Compared residual and baseline outputs on the same 368 test images.</w:t>
      </w:r>
    </w:p>
    <w:p>
      <w:pPr>
        <w:spacing w:before="140" w:after="40"/>
      </w:pPr>
      <w:r>
        <w:rPr>
          <w:rFonts w:ascii="Arial" w:hAnsi="Arial"/>
          <w:b/>
          <w:sz w:val="24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U-Net 128/50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Residual 128/50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MSE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0.039444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0.035727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PSNR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15.681501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16.304393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SSIM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0.610758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0.788963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Delta E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29.645203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26.840257</w:t>
            </w:r>
          </w:p>
        </w:tc>
      </w:tr>
    </w:tbl>
    <w:p>
      <w:pPr>
        <w:spacing w:before="140" w:after="40"/>
      </w:pPr>
      <w:r>
        <w:rPr>
          <w:rFonts w:ascii="Arial" w:hAnsi="Arial"/>
          <w:b/>
          <w:sz w:val="24"/>
        </w:rPr>
        <w:t>Notes</w:t>
      </w:r>
    </w:p>
    <w:p>
      <w:pPr>
        <w:pStyle w:val="ListBullet"/>
        <w:spacing w:after="20"/>
      </w:pPr>
      <w:r>
        <w:t>Residual improves default-baseline SSIM by 29.18% and reduces Delta E by 9.46%.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29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_defaul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2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i/>
          <w:sz w:val="17"/>
        </w:rPr>
        <w:t>Matching default U-Net and residual restoration examples.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