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0000"/>
          <w:sz w:val="32"/>
        </w:rPr>
        <w:t>Checkpoint 6: Parameter-Matched Capacity Control</w:t>
      </w:r>
    </w:p>
    <w:p>
      <w:pPr>
        <w:spacing w:before="140" w:after="40"/>
      </w:pPr>
      <w:r>
        <w:rPr>
          <w:rFonts w:ascii="Arial" w:hAnsi="Arial"/>
          <w:b/>
          <w:sz w:val="24"/>
        </w:rPr>
        <w:t>Objective</w:t>
      </w:r>
    </w:p>
    <w:p>
      <w:pPr>
        <w:spacing w:after="60"/>
        <w:jc w:val="both"/>
      </w:pPr>
      <w:r>
        <w:t>Check whether the main architecture comparison is explained by parameter count.</w:t>
      </w:r>
    </w:p>
    <w:p>
      <w:pPr>
        <w:spacing w:before="140" w:after="40"/>
      </w:pPr>
      <w:r>
        <w:rPr>
          <w:rFonts w:ascii="Arial" w:hAnsi="Arial"/>
          <w:b/>
          <w:sz w:val="24"/>
        </w:rPr>
        <w:t>Key Message</w:t>
      </w:r>
    </w:p>
    <w:p>
      <w:pPr>
        <w:spacing w:before="40" w:after="100"/>
        <w:jc w:val="center"/>
      </w:pPr>
      <w:r>
        <w:rPr>
          <w:b/>
          <w:sz w:val="22"/>
        </w:rPr>
        <w:t>The capacity-control result makes the final claim honest: residual is not best on every metric, but remains best on SSIM, Delta E, and entropy.</w:t>
      </w:r>
    </w:p>
    <w:p>
      <w:pPr>
        <w:spacing w:before="140" w:after="40"/>
      </w:pPr>
      <w:r>
        <w:rPr>
          <w:rFonts w:ascii="Arial" w:hAnsi="Arial"/>
          <w:b/>
          <w:sz w:val="24"/>
        </w:rPr>
        <w:t>Completed Work</w:t>
      </w:r>
    </w:p>
    <w:p>
      <w:pPr>
        <w:pStyle w:val="ListBullet"/>
        <w:spacing w:after="20"/>
      </w:pPr>
      <w:r>
        <w:t>Completed parameter-matched U-Net capacity control with base_channels=42.</w:t>
      </w:r>
    </w:p>
    <w:p>
      <w:pPr>
        <w:pStyle w:val="ListBullet"/>
        <w:spacing w:after="20"/>
      </w:pPr>
      <w:r>
        <w:t>Compared parameter-matched U-Net with the residual model.</w:t>
      </w:r>
    </w:p>
    <w:p>
      <w:pPr>
        <w:pStyle w:val="ListBullet"/>
        <w:spacing w:after="20"/>
      </w:pPr>
      <w:r>
        <w:t>Qualified the final conclusion using metric-specific capacity-control evidence.</w:t>
      </w:r>
    </w:p>
    <w:p>
      <w:pPr>
        <w:spacing w:before="140" w:after="40"/>
      </w:pPr>
      <w:r>
        <w:rPr>
          <w:rFonts w:ascii="Arial" w:hAnsi="Arial"/>
          <w:b/>
          <w:sz w:val="24"/>
        </w:rPr>
        <w:t>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Metric</w:t>
            </w:r>
          </w:p>
        </w:tc>
        <w:tc>
          <w:tcPr>
            <w:tcW w:type="dxa" w:w="2412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Matched U-Net</w:t>
            </w:r>
          </w:p>
        </w:tc>
        <w:tc>
          <w:tcPr>
            <w:tcW w:type="dxa" w:w="2412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Residual</w:t>
            </w:r>
          </w:p>
        </w:tc>
        <w:tc>
          <w:tcPr>
            <w:tcW w:type="dxa" w:w="2412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Better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MSE</w:t>
            </w:r>
          </w:p>
        </w:tc>
        <w:tc>
          <w:tcPr>
            <w:tcW w:type="dxa" w:w="2412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0.034294</w:t>
            </w:r>
          </w:p>
        </w:tc>
        <w:tc>
          <w:tcPr>
            <w:tcW w:type="dxa" w:w="2412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0.035727</w:t>
            </w:r>
          </w:p>
        </w:tc>
        <w:tc>
          <w:tcPr>
            <w:tcW w:type="dxa" w:w="2412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Matched U-Net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PSNR</w:t>
            </w:r>
          </w:p>
        </w:tc>
        <w:tc>
          <w:tcPr>
            <w:tcW w:type="dxa" w:w="2412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16.356273</w:t>
            </w:r>
          </w:p>
        </w:tc>
        <w:tc>
          <w:tcPr>
            <w:tcW w:type="dxa" w:w="2412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16.304393</w:t>
            </w:r>
          </w:p>
        </w:tc>
        <w:tc>
          <w:tcPr>
            <w:tcW w:type="dxa" w:w="2412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Matched U-Net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SSIM</w:t>
            </w:r>
          </w:p>
        </w:tc>
        <w:tc>
          <w:tcPr>
            <w:tcW w:type="dxa" w:w="2412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0.746291</w:t>
            </w:r>
          </w:p>
        </w:tc>
        <w:tc>
          <w:tcPr>
            <w:tcW w:type="dxa" w:w="2412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0.788963</w:t>
            </w:r>
          </w:p>
        </w:tc>
        <w:tc>
          <w:tcPr>
            <w:tcW w:type="dxa" w:w="2412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Residual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Delta E</w:t>
            </w:r>
          </w:p>
        </w:tc>
        <w:tc>
          <w:tcPr>
            <w:tcW w:type="dxa" w:w="2412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27.225774</w:t>
            </w:r>
          </w:p>
        </w:tc>
        <w:tc>
          <w:tcPr>
            <w:tcW w:type="dxa" w:w="2412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26.840257</w:t>
            </w:r>
          </w:p>
        </w:tc>
        <w:tc>
          <w:tcPr>
            <w:tcW w:type="dxa" w:w="2412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Residual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Entropy</w:t>
            </w:r>
          </w:p>
        </w:tc>
        <w:tc>
          <w:tcPr>
            <w:tcW w:type="dxa" w:w="2412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4.790907</w:t>
            </w:r>
          </w:p>
        </w:tc>
        <w:tc>
          <w:tcPr>
            <w:tcW w:type="dxa" w:w="2412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4.368050</w:t>
            </w:r>
          </w:p>
        </w:tc>
        <w:tc>
          <w:tcPr>
            <w:tcW w:type="dxa" w:w="2412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Residual</w:t>
            </w:r>
          </w:p>
        </w:tc>
      </w:tr>
    </w:tbl>
    <w:p>
      <w:pPr>
        <w:spacing w:before="140" w:after="40"/>
      </w:pPr>
      <w:r>
        <w:rPr>
          <w:rFonts w:ascii="Arial" w:hAnsi="Arial"/>
          <w:b/>
          <w:sz w:val="24"/>
        </w:rPr>
        <w:t>Notes</w:t>
      </w:r>
    </w:p>
    <w:p>
      <w:pPr>
        <w:pStyle w:val="ListBullet"/>
        <w:spacing w:after="20"/>
      </w:pPr>
      <w:r>
        <w:t>The residual model leads on SSIM and Delta E; the matched U-Net leads on MSE, MAE, and PSNR.</w:t>
      </w:r>
    </w:p>
    <w:p>
      <w:pPr>
        <w:keepNext/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5303520" cy="43298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ct_capacity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329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Calibri" w:hAnsi="Calibri"/>
          <w:i/>
          <w:sz w:val="17"/>
        </w:rPr>
        <w:t>Matching parameter-matched U-Net and residual restoration examples.</w:t>
      </w:r>
    </w:p>
    <w:sectPr w:rsidR="00FC693F" w:rsidRPr="0006063C" w:rsidSect="00034616">
      <w:footerReference w:type="default" r:id="rId9"/>
      <w:pgSz w:w="12240" w:h="15840"/>
      <w:pgMar w:top="1152" w:right="1296" w:bottom="1008" w:left="1296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 PAGE 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