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000000"/>
          <w:sz w:val="32"/>
        </w:rPr>
        <w:t>Checkpoint 2: DataLoader and Diffusion Pipeline</w:t>
      </w:r>
    </w:p>
    <w:p>
      <w:pPr>
        <w:spacing w:before="140" w:after="40"/>
      </w:pPr>
      <w:r>
        <w:rPr>
          <w:rFonts w:ascii="Arial" w:hAnsi="Arial"/>
          <w:b/>
          <w:sz w:val="24"/>
        </w:rPr>
        <w:t>Objective</w:t>
      </w:r>
    </w:p>
    <w:p>
      <w:pPr>
        <w:spacing w:after="60"/>
        <w:jc w:val="both"/>
      </w:pPr>
      <w:r>
        <w:t>Show that paired images enter the model correctly and that the diffusion training task is implemented.</w:t>
      </w:r>
    </w:p>
    <w:p>
      <w:pPr>
        <w:spacing w:before="140" w:after="40"/>
      </w:pPr>
      <w:r>
        <w:rPr>
          <w:rFonts w:ascii="Arial" w:hAnsi="Arial"/>
          <w:b/>
          <w:sz w:val="24"/>
        </w:rPr>
        <w:t>Key Message</w:t>
      </w:r>
    </w:p>
    <w:p>
      <w:pPr>
        <w:spacing w:before="40" w:after="100"/>
        <w:jc w:val="center"/>
      </w:pPr>
      <w:r>
        <w:rPr>
          <w:b/>
          <w:sz w:val="22"/>
        </w:rPr>
        <w:t>The data pipeline, noising process, and tests are ready before full model training.</w:t>
      </w:r>
    </w:p>
    <w:p>
      <w:pPr>
        <w:spacing w:before="140" w:after="40"/>
      </w:pPr>
      <w:r>
        <w:rPr>
          <w:rFonts w:ascii="Arial" w:hAnsi="Arial"/>
          <w:b/>
          <w:sz w:val="24"/>
        </w:rPr>
        <w:t>Completed Work</w:t>
      </w:r>
    </w:p>
    <w:p>
      <w:pPr>
        <w:pStyle w:val="ListBullet"/>
        <w:spacing w:after="20"/>
      </w:pPr>
      <w:r>
        <w:t>Implemented normalized paired image loading.</w:t>
      </w:r>
    </w:p>
    <w:p>
      <w:pPr>
        <w:pStyle w:val="ListBullet"/>
        <w:spacing w:after="20"/>
      </w:pPr>
      <w:r>
        <w:t>Implemented timestep sampling and linear beta schedule.</w:t>
      </w:r>
    </w:p>
    <w:p>
      <w:pPr>
        <w:pStyle w:val="ListBullet"/>
        <w:spacing w:after="20"/>
      </w:pPr>
      <w:r>
        <w:t>Added sanity tests for dataset pairing, diffusion, and training steps.</w:t>
      </w:r>
    </w:p>
    <w:p>
      <w:pPr>
        <w:spacing w:before="140" w:after="40"/>
      </w:pPr>
      <w:r>
        <w:rPr>
          <w:rFonts w:ascii="Arial" w:hAnsi="Arial"/>
          <w:b/>
          <w:sz w:val="24"/>
        </w:rPr>
        <w:t>Verification and Controls</w:t>
      </w:r>
    </w:p>
    <w:p>
      <w:pPr>
        <w:pStyle w:val="ListBullet"/>
        <w:spacing w:after="20"/>
      </w:pPr>
      <w:r>
        <w:t>Applied synchronized transforms to preserve pixel alignment between underwater inputs and clean references.</w:t>
      </w:r>
    </w:p>
    <w:p>
      <w:pPr>
        <w:pStyle w:val="ListBullet"/>
        <w:spacing w:after="20"/>
      </w:pPr>
      <w:r>
        <w:t>Validated timestep ranges, noise tensor shapes, and reverse-sampling output bounds.</w:t>
      </w:r>
    </w:p>
    <w:p>
      <w:pPr>
        <w:pStyle w:val="ListBullet"/>
        <w:spacing w:after="20"/>
      </w:pPr>
      <w:r>
        <w:t>Used smoke training and unit tests to detect data-model incompatibilities before full experiments.</w:t>
      </w:r>
    </w:p>
    <w:p>
      <w:pPr>
        <w:spacing w:before="140" w:after="40"/>
      </w:pPr>
      <w:r>
        <w:rPr>
          <w:rFonts w:ascii="Arial" w:hAnsi="Arial"/>
          <w:b/>
          <w:sz w:val="24"/>
        </w:rPr>
        <w:t>Evidence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pPr>
              <w:jc w:val="center"/>
            </w:pPr>
            <w:r>
              <w:rPr>
                <w:rFonts w:ascii="Calibri" w:hAnsi="Calibri"/>
                <w:b/>
                <w:color w:val="000000"/>
                <w:sz w:val="18"/>
              </w:rPr>
              <w:t>Component</w:t>
            </w:r>
          </w:p>
        </w:tc>
        <w:tc>
          <w:tcPr>
            <w:tcW w:type="dxa" w:w="4824"/>
          </w:tcPr>
          <w:p>
            <w:pPr>
              <w:jc w:val="center"/>
            </w:pPr>
            <w:r>
              <w:rPr>
                <w:rFonts w:ascii="Calibri" w:hAnsi="Calibri"/>
                <w:b/>
                <w:color w:val="000000"/>
                <w:sz w:val="18"/>
              </w:rPr>
              <w:t>Status</w:t>
            </w:r>
          </w:p>
        </w:tc>
      </w:tr>
      <w:tr>
        <w:tc>
          <w:tcPr>
            <w:tcW w:type="dxa" w:w="4824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Paired DataLoader</w:t>
            </w:r>
          </w:p>
        </w:tc>
        <w:tc>
          <w:tcPr>
            <w:tcW w:type="dxa" w:w="4824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Completed</w:t>
            </w:r>
          </w:p>
        </w:tc>
      </w:tr>
      <w:tr>
        <w:tc>
          <w:tcPr>
            <w:tcW w:type="dxa" w:w="4824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Forward diffusion</w:t>
            </w:r>
          </w:p>
        </w:tc>
        <w:tc>
          <w:tcPr>
            <w:tcW w:type="dxa" w:w="4824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Completed</w:t>
            </w:r>
          </w:p>
        </w:tc>
      </w:tr>
      <w:tr>
        <w:tc>
          <w:tcPr>
            <w:tcW w:type="dxa" w:w="4824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Unit tests</w:t>
            </w:r>
          </w:p>
        </w:tc>
        <w:tc>
          <w:tcPr>
            <w:tcW w:type="dxa" w:w="4824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Passing</w:t>
            </w:r>
          </w:p>
        </w:tc>
      </w:tr>
    </w:tbl>
    <w:p>
      <w:pPr>
        <w:spacing w:before="140" w:after="40"/>
      </w:pPr>
      <w:r>
        <w:rPr>
          <w:rFonts w:ascii="Arial" w:hAnsi="Arial"/>
          <w:b/>
          <w:sz w:val="24"/>
        </w:rPr>
        <w:t>Decision / Next Gate</w:t>
      </w:r>
    </w:p>
    <w:p>
      <w:pPr>
        <w:spacing w:before="40" w:after="100"/>
        <w:jc w:val="center"/>
      </w:pPr>
      <w:r>
        <w:rPr>
          <w:b/>
          <w:sz w:val="22"/>
        </w:rPr>
        <w:t>Keep preprocessing, diffusion schedule, training budget, and callback logic fixed for all compared backbones.</w:t>
      </w:r>
    </w:p>
    <w:p>
      <w:pPr>
        <w:spacing w:before="140" w:after="40"/>
      </w:pPr>
      <w:r>
        <w:rPr>
          <w:rFonts w:ascii="Arial" w:hAnsi="Arial"/>
          <w:b/>
          <w:sz w:val="24"/>
        </w:rPr>
        <w:t>Notes</w:t>
      </w:r>
    </w:p>
    <w:p>
      <w:pPr>
        <w:pStyle w:val="ListBullet"/>
        <w:spacing w:after="20"/>
      </w:pPr>
      <w:r>
        <w:t>The same diffusion objective is used for both baseline and residual models.</w:t>
      </w:r>
    </w:p>
    <w:p>
      <w:pPr>
        <w:keepNext/>
        <w:spacing w:before="40" w:after="20"/>
        <w:jc w:val="center"/>
      </w:pPr>
      <w:r>
        <w:drawing>
          <wp:inline xmlns:a="http://schemas.openxmlformats.org/drawingml/2006/main" xmlns:pic="http://schemas.openxmlformats.org/drawingml/2006/picture">
            <wp:extent cx="5303520" cy="10295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posed_pipelin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0295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  <w:jc w:val="center"/>
      </w:pPr>
      <w:r>
        <w:rPr>
          <w:rFonts w:ascii="Calibri" w:hAnsi="Calibri"/>
          <w:i/>
          <w:sz w:val="17"/>
        </w:rPr>
        <w:t>Conditional diffusion restoration pipeline.</w:t>
      </w:r>
    </w:p>
    <w:sectPr w:rsidR="00FC693F" w:rsidRPr="0006063C" w:rsidSect="00034616">
      <w:footerReference w:type="default" r:id="rId9"/>
      <w:pgSz w:w="12240" w:h="15840"/>
      <w:pgMar w:top="1152" w:right="1296" w:bottom="1008" w:left="1296" w:header="720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fldChar w:fldCharType="begin"/>
      <w:instrText xml:space="preserve"> PAGE </w:instrText>
      <w:fldChar w:fldCharType="separate"/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Calibri" w:hAnsi="Calibr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