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000000"/>
          <w:sz w:val="32"/>
        </w:rPr>
        <w:t>Checkpoint 5: Full Results</w:t>
      </w:r>
    </w:p>
    <w:p>
      <w:pPr>
        <w:spacing w:before="140" w:after="40"/>
      </w:pPr>
      <w:r>
        <w:rPr>
          <w:rFonts w:ascii="Arial" w:hAnsi="Arial"/>
          <w:b/>
          <w:sz w:val="24"/>
        </w:rPr>
        <w:t>Objective</w:t>
      </w:r>
    </w:p>
    <w:p>
      <w:pPr>
        <w:spacing w:after="60"/>
        <w:jc w:val="both"/>
      </w:pPr>
      <w:r>
        <w:t>Evaluate the three main models on the grouped 384-image test split across three seeds.</w:t>
      </w:r>
    </w:p>
    <w:p>
      <w:pPr>
        <w:spacing w:before="140" w:after="40"/>
      </w:pPr>
      <w:r>
        <w:rPr>
          <w:rFonts w:ascii="Arial" w:hAnsi="Arial"/>
          <w:b/>
          <w:sz w:val="24"/>
        </w:rPr>
        <w:t>Key Message</w:t>
      </w:r>
    </w:p>
    <w:p>
      <w:pPr>
        <w:spacing w:before="40" w:after="100"/>
        <w:jc w:val="center"/>
      </w:pPr>
      <w:r>
        <w:rPr>
          <w:b/>
          <w:sz w:val="22"/>
        </w:rPr>
        <w:t>Every final quantitative claim uses the same grouped test list and reports mean +/- sample SD.</w:t>
      </w:r>
    </w:p>
    <w:p>
      <w:pPr>
        <w:spacing w:before="140" w:after="40"/>
      </w:pPr>
      <w:r>
        <w:rPr>
          <w:rFonts w:ascii="Arial" w:hAnsi="Arial"/>
          <w:b/>
          <w:sz w:val="24"/>
        </w:rPr>
        <w:t>Completed Work</w:t>
      </w:r>
    </w:p>
    <w:p>
      <w:pPr>
        <w:pStyle w:val="ListBullet"/>
        <w:spacing w:after="20"/>
      </w:pPr>
      <w:r>
        <w:t>Evaluated 128x128 50-epoch baseline and residual models.</w:t>
      </w:r>
    </w:p>
    <w:p>
      <w:pPr>
        <w:pStyle w:val="ListBullet"/>
        <w:spacing w:after="20"/>
      </w:pPr>
      <w:r>
        <w:t>Evaluated default, parameter-matched, and residual models across three seeds.</w:t>
      </w:r>
    </w:p>
    <w:p>
      <w:pPr>
        <w:pStyle w:val="ListBullet"/>
        <w:spacing w:after="20"/>
      </w:pPr>
      <w:r>
        <w:t>Generated grouped aggregate metric summary.</w:t>
      </w:r>
    </w:p>
    <w:p>
      <w:pPr>
        <w:spacing w:before="140" w:after="40"/>
      </w:pPr>
      <w:r>
        <w:rPr>
          <w:rFonts w:ascii="Arial" w:hAnsi="Arial"/>
          <w:b/>
          <w:sz w:val="24"/>
        </w:rPr>
        <w:t>Verification and Controls</w:t>
      </w:r>
    </w:p>
    <w:p>
      <w:pPr>
        <w:pStyle w:val="ListBullet"/>
        <w:spacing w:after="20"/>
      </w:pPr>
      <w:r>
        <w:t>Ran all three architectures with seeds 42, 123, and 2026 on the identical grouped test list.</w:t>
      </w:r>
    </w:p>
    <w:p>
      <w:pPr>
        <w:pStyle w:val="ListBullet"/>
        <w:spacing w:after="20"/>
      </w:pPr>
      <w:r>
        <w:t>Aggregated seed-level scores as mean +/- sample standard deviation rather than pooling test images across runs.</w:t>
      </w:r>
    </w:p>
    <w:p>
      <w:pPr>
        <w:pStyle w:val="ListBullet"/>
        <w:spacing w:after="20"/>
      </w:pPr>
      <w:r>
        <w:t>Cross-checked tables, plots, and qualitative examples against the machine-readable grouped summary.</w:t>
      </w:r>
    </w:p>
    <w:p>
      <w:pPr>
        <w:spacing w:before="140" w:after="40"/>
      </w:pPr>
      <w:r>
        <w:rPr>
          <w:rFonts w:ascii="Arial" w:hAnsi="Arial"/>
          <w:b/>
          <w:sz w:val="24"/>
        </w:rPr>
        <w:t>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pPr>
              <w:jc w:val="center"/>
            </w:pPr>
            <w:r>
              <w:rPr>
                <w:rFonts w:ascii="Calibri" w:hAnsi="Calibri"/>
                <w:b/>
                <w:color w:val="000000"/>
                <w:sz w:val="18"/>
              </w:rPr>
              <w:t>Experiment</w:t>
            </w:r>
          </w:p>
        </w:tc>
        <w:tc>
          <w:tcPr>
            <w:tcW w:type="dxa" w:w="2412"/>
          </w:tcPr>
          <w:p>
            <w:pPr>
              <w:jc w:val="center"/>
            </w:pPr>
            <w:r>
              <w:rPr>
                <w:rFonts w:ascii="Calibri" w:hAnsi="Calibri"/>
                <w:b/>
                <w:color w:val="000000"/>
                <w:sz w:val="18"/>
              </w:rPr>
              <w:t>PSNR mean +/- SD</w:t>
            </w:r>
          </w:p>
        </w:tc>
        <w:tc>
          <w:tcPr>
            <w:tcW w:type="dxa" w:w="2412"/>
          </w:tcPr>
          <w:p>
            <w:pPr>
              <w:jc w:val="center"/>
            </w:pPr>
            <w:r>
              <w:rPr>
                <w:rFonts w:ascii="Calibri" w:hAnsi="Calibri"/>
                <w:b/>
                <w:color w:val="000000"/>
                <w:sz w:val="18"/>
              </w:rPr>
              <w:t>SSIM mean +/- SD</w:t>
            </w:r>
          </w:p>
        </w:tc>
        <w:tc>
          <w:tcPr>
            <w:tcW w:type="dxa" w:w="2412"/>
          </w:tcPr>
          <w:p>
            <w:pPr>
              <w:jc w:val="center"/>
            </w:pPr>
            <w:r>
              <w:rPr>
                <w:rFonts w:ascii="Calibri" w:hAnsi="Calibri"/>
                <w:b/>
                <w:color w:val="000000"/>
                <w:sz w:val="18"/>
              </w:rPr>
              <w:t>Delta E mean +/- SD</w:t>
            </w:r>
          </w:p>
        </w:tc>
      </w:tr>
      <w:tr>
        <w:tc>
          <w:tcPr>
            <w:tcW w:type="dxa" w:w="2412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U-Net</w:t>
            </w:r>
          </w:p>
        </w:tc>
        <w:tc>
          <w:tcPr>
            <w:tcW w:type="dxa" w:w="2412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15.780514 +/- 0.187075</w:t>
            </w:r>
          </w:p>
        </w:tc>
        <w:tc>
          <w:tcPr>
            <w:tcW w:type="dxa" w:w="2412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0.657180 +/- 0.015721</w:t>
            </w:r>
          </w:p>
        </w:tc>
        <w:tc>
          <w:tcPr>
            <w:tcW w:type="dxa" w:w="2412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28.380208 +/- 1.320879</w:t>
            </w:r>
          </w:p>
        </w:tc>
      </w:tr>
      <w:tr>
        <w:tc>
          <w:tcPr>
            <w:tcW w:type="dxa" w:w="2412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Matched U-Net</w:t>
            </w:r>
          </w:p>
        </w:tc>
        <w:tc>
          <w:tcPr>
            <w:tcW w:type="dxa" w:w="2412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16.017719 +/- 0.277610</w:t>
            </w:r>
          </w:p>
        </w:tc>
        <w:tc>
          <w:tcPr>
            <w:tcW w:type="dxa" w:w="2412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0.722221 +/- 0.022096</w:t>
            </w:r>
          </w:p>
        </w:tc>
        <w:tc>
          <w:tcPr>
            <w:tcW w:type="dxa" w:w="2412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27.590478 +/- 2.280969</w:t>
            </w:r>
          </w:p>
        </w:tc>
      </w:tr>
      <w:tr>
        <w:tc>
          <w:tcPr>
            <w:tcW w:type="dxa" w:w="2412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Residual</w:t>
            </w:r>
          </w:p>
        </w:tc>
        <w:tc>
          <w:tcPr>
            <w:tcW w:type="dxa" w:w="2412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16.006089 +/- 0.267086</w:t>
            </w:r>
          </w:p>
        </w:tc>
        <w:tc>
          <w:tcPr>
            <w:tcW w:type="dxa" w:w="2412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0.779948 +/- 0.006607</w:t>
            </w:r>
          </w:p>
        </w:tc>
        <w:tc>
          <w:tcPr>
            <w:tcW w:type="dxa" w:w="2412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27.053617 +/- 1.081249</w:t>
            </w:r>
          </w:p>
        </w:tc>
      </w:tr>
    </w:tbl>
    <w:p>
      <w:pPr>
        <w:spacing w:before="140" w:after="40"/>
      </w:pPr>
      <w:r>
        <w:rPr>
          <w:rFonts w:ascii="Arial" w:hAnsi="Arial"/>
          <w:b/>
          <w:sz w:val="24"/>
        </w:rPr>
        <w:t>Decision / Next Gate</w:t>
      </w:r>
    </w:p>
    <w:p>
      <w:pPr>
        <w:spacing w:before="40" w:after="100"/>
        <w:jc w:val="center"/>
      </w:pPr>
      <w:r>
        <w:rPr>
          <w:b/>
          <w:sz w:val="22"/>
        </w:rPr>
        <w:t>Use only the grouped three-model by three-seed matrix for final quantitative claims and keep entropy descriptive.</w:t>
      </w:r>
    </w:p>
    <w:p>
      <w:pPr>
        <w:spacing w:before="140" w:after="40"/>
      </w:pPr>
      <w:r>
        <w:rPr>
          <w:rFonts w:ascii="Arial" w:hAnsi="Arial"/>
          <w:b/>
          <w:sz w:val="24"/>
        </w:rPr>
        <w:t>Notes</w:t>
      </w:r>
    </w:p>
    <w:p>
      <w:pPr>
        <w:pStyle w:val="ListBullet"/>
        <w:spacing w:after="20"/>
      </w:pPr>
      <w:r>
        <w:t>Earlier duration and resolution ablations used the superseded split and are excluded from final claims.</w:t>
      </w:r>
    </w:p>
    <w:p>
      <w:pPr>
        <w:keepNext/>
        <w:spacing w:before="40" w:after="20"/>
        <w:jc w:val="center"/>
      </w:pPr>
      <w:r>
        <w:drawing>
          <wp:inline xmlns:a="http://schemas.openxmlformats.org/drawingml/2006/main" xmlns:pic="http://schemas.openxmlformats.org/drawingml/2006/picture">
            <wp:extent cx="5303520" cy="33146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ining_loss_curv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6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Calibri" w:hAnsi="Calibri"/>
          <w:i/>
          <w:sz w:val="17"/>
        </w:rPr>
        <w:t>Training and validation loss curves.</w:t>
      </w:r>
    </w:p>
    <w:p>
      <w:pPr>
        <w:keepNext/>
        <w:spacing w:before="40" w:after="20"/>
        <w:jc w:val="center"/>
      </w:pPr>
      <w:r>
        <w:drawing>
          <wp:inline xmlns:a="http://schemas.openxmlformats.org/drawingml/2006/main" xmlns:pic="http://schemas.openxmlformats.org/drawingml/2006/picture">
            <wp:extent cx="5303520" cy="252548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lta_e_cie76_comparis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54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Calibri" w:hAnsi="Calibri"/>
          <w:i/>
          <w:sz w:val="17"/>
        </w:rPr>
        <w:t>Delta E comparison across experiments.</w:t>
      </w:r>
    </w:p>
    <w:sectPr w:rsidR="00FC693F" w:rsidRPr="0006063C" w:rsidSect="00034616">
      <w:footerReference w:type="default" r:id="rId9"/>
      <w:pgSz w:w="12240" w:h="15840"/>
      <w:pgMar w:top="1152" w:right="1296" w:bottom="1008" w:left="1296" w:header="720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fldChar w:fldCharType="begin"/>
      <w:instrText xml:space="preserve"> PAGE 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