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000000"/>
          <w:sz w:val="32"/>
        </w:rPr>
        <w:t>Checkpoint 6: Parameter-Matched Capacity Control</w:t>
      </w:r>
    </w:p>
    <w:p>
      <w:pPr>
        <w:spacing w:before="140" w:after="40"/>
      </w:pPr>
      <w:r>
        <w:rPr>
          <w:rFonts w:ascii="Arial" w:hAnsi="Arial"/>
          <w:b/>
          <w:sz w:val="24"/>
        </w:rPr>
        <w:t>Objective</w:t>
      </w:r>
    </w:p>
    <w:p>
      <w:pPr>
        <w:spacing w:after="60"/>
        <w:jc w:val="both"/>
      </w:pPr>
      <w:r>
        <w:t>Check whether the main architecture comparison is explained by parameter count.</w:t>
      </w:r>
    </w:p>
    <w:p>
      <w:pPr>
        <w:spacing w:before="140" w:after="40"/>
      </w:pPr>
      <w:r>
        <w:rPr>
          <w:rFonts w:ascii="Arial" w:hAnsi="Arial"/>
          <w:b/>
          <w:sz w:val="24"/>
        </w:rPr>
        <w:t>Key Message</w:t>
      </w:r>
    </w:p>
    <w:p>
      <w:pPr>
        <w:spacing w:before="40" w:after="100"/>
        <w:jc w:val="center"/>
      </w:pPr>
      <w:r>
        <w:rPr>
          <w:b/>
          <w:sz w:val="22"/>
        </w:rPr>
        <w:t>The capacity control makes the final claim honest: matched U-Net leads pixel metrics while residual leads mean SSIM and Delta E.</w:t>
      </w:r>
    </w:p>
    <w:p>
      <w:pPr>
        <w:spacing w:before="140" w:after="40"/>
      </w:pPr>
      <w:r>
        <w:rPr>
          <w:rFonts w:ascii="Arial" w:hAnsi="Arial"/>
          <w:b/>
          <w:sz w:val="24"/>
        </w:rPr>
        <w:t>Completed Work</w:t>
      </w:r>
    </w:p>
    <w:p>
      <w:pPr>
        <w:pStyle w:val="ListBullet"/>
        <w:spacing w:after="20"/>
      </w:pPr>
      <w:r>
        <w:t>Completed parameter-matched U-Net capacity control with base_channels=42.</w:t>
      </w:r>
    </w:p>
    <w:p>
      <w:pPr>
        <w:pStyle w:val="ListBullet"/>
        <w:spacing w:after="20"/>
      </w:pPr>
      <w:r>
        <w:t>Compared parameter-matched U-Net with the residual model.</w:t>
      </w:r>
    </w:p>
    <w:p>
      <w:pPr>
        <w:pStyle w:val="ListBullet"/>
        <w:spacing w:after="20"/>
      </w:pPr>
      <w:r>
        <w:t>Qualified the final conclusion using metric-specific capacity-control evidence.</w:t>
      </w:r>
    </w:p>
    <w:p>
      <w:pPr>
        <w:spacing w:before="140" w:after="40"/>
      </w:pPr>
      <w:r>
        <w:rPr>
          <w:rFonts w:ascii="Arial" w:hAnsi="Arial"/>
          <w:b/>
          <w:sz w:val="24"/>
        </w:rPr>
        <w:t>Verification and Controls</w:t>
      </w:r>
    </w:p>
    <w:p>
      <w:pPr>
        <w:pStyle w:val="ListBullet"/>
        <w:spacing w:after="20"/>
      </w:pPr>
      <w:r>
        <w:t>Matched trainable capacity while retaining the plain U-Net topology to isolate architecture from model size.</w:t>
      </w:r>
    </w:p>
    <w:p>
      <w:pPr>
        <w:pStyle w:val="ListBullet"/>
        <w:spacing w:after="20"/>
      </w:pPr>
      <w:r>
        <w:t>Confirmed metric direction explicitly: lower for MSE, MAE, and Delta E; higher for PSNR and SSIM.</w:t>
      </w:r>
    </w:p>
    <w:p>
      <w:pPr>
        <w:pStyle w:val="ListBullet"/>
        <w:spacing w:after="20"/>
      </w:pPr>
      <w:r>
        <w:t>Recorded mixed leadership and seed variability instead of selecting a universal winner.</w:t>
      </w:r>
    </w:p>
    <w:p>
      <w:pPr>
        <w:spacing w:before="140" w:after="40"/>
      </w:pPr>
      <w:r>
        <w:rPr>
          <w:rFonts w:ascii="Arial" w:hAnsi="Arial"/>
          <w:b/>
          <w:sz w:val="24"/>
        </w:rPr>
        <w:t>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pPr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Metric</w:t>
            </w:r>
          </w:p>
        </w:tc>
        <w:tc>
          <w:tcPr>
            <w:tcW w:type="dxa" w:w="2412"/>
          </w:tcPr>
          <w:p>
            <w:pPr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Matched U-Net</w:t>
            </w:r>
          </w:p>
        </w:tc>
        <w:tc>
          <w:tcPr>
            <w:tcW w:type="dxa" w:w="2412"/>
          </w:tcPr>
          <w:p>
            <w:pPr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Residual</w:t>
            </w:r>
          </w:p>
        </w:tc>
        <w:tc>
          <w:tcPr>
            <w:tcW w:type="dxa" w:w="2412"/>
          </w:tcPr>
          <w:p>
            <w:pPr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Mean leader</w:t>
            </w:r>
          </w:p>
        </w:tc>
      </w:tr>
      <w:tr>
        <w:tc>
          <w:tcPr>
            <w:tcW w:type="dxa" w:w="2412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MSE</w:t>
            </w:r>
          </w:p>
        </w:tc>
        <w:tc>
          <w:tcPr>
            <w:tcW w:type="dxa" w:w="2412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0.038056 +/- 0.002727</w:t>
            </w:r>
          </w:p>
        </w:tc>
        <w:tc>
          <w:tcPr>
            <w:tcW w:type="dxa" w:w="2412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0.038782 +/- 0.003119</w:t>
            </w:r>
          </w:p>
        </w:tc>
        <w:tc>
          <w:tcPr>
            <w:tcW w:type="dxa" w:w="2412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Matched U-Net</w:t>
            </w:r>
          </w:p>
        </w:tc>
      </w:tr>
      <w:tr>
        <w:tc>
          <w:tcPr>
            <w:tcW w:type="dxa" w:w="2412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PSNR</w:t>
            </w:r>
          </w:p>
        </w:tc>
        <w:tc>
          <w:tcPr>
            <w:tcW w:type="dxa" w:w="2412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16.017719 +/- 0.277610</w:t>
            </w:r>
          </w:p>
        </w:tc>
        <w:tc>
          <w:tcPr>
            <w:tcW w:type="dxa" w:w="2412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16.006089 +/- 0.267086</w:t>
            </w:r>
          </w:p>
        </w:tc>
        <w:tc>
          <w:tcPr>
            <w:tcW w:type="dxa" w:w="2412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Matched U-Net</w:t>
            </w:r>
          </w:p>
        </w:tc>
      </w:tr>
      <w:tr>
        <w:tc>
          <w:tcPr>
            <w:tcW w:type="dxa" w:w="2412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SSIM</w:t>
            </w:r>
          </w:p>
        </w:tc>
        <w:tc>
          <w:tcPr>
            <w:tcW w:type="dxa" w:w="2412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0.722221 +/- 0.022096</w:t>
            </w:r>
          </w:p>
        </w:tc>
        <w:tc>
          <w:tcPr>
            <w:tcW w:type="dxa" w:w="2412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0.779948 +/- 0.006607</w:t>
            </w:r>
          </w:p>
        </w:tc>
        <w:tc>
          <w:tcPr>
            <w:tcW w:type="dxa" w:w="2412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Residual</w:t>
            </w:r>
          </w:p>
        </w:tc>
      </w:tr>
      <w:tr>
        <w:tc>
          <w:tcPr>
            <w:tcW w:type="dxa" w:w="2412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Delta E</w:t>
            </w:r>
          </w:p>
        </w:tc>
        <w:tc>
          <w:tcPr>
            <w:tcW w:type="dxa" w:w="2412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27.590478 +/- 2.280969</w:t>
            </w:r>
          </w:p>
        </w:tc>
        <w:tc>
          <w:tcPr>
            <w:tcW w:type="dxa" w:w="2412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27.053617 +/- 1.081249</w:t>
            </w:r>
          </w:p>
        </w:tc>
        <w:tc>
          <w:tcPr>
            <w:tcW w:type="dxa" w:w="2412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Residual</w:t>
            </w:r>
          </w:p>
        </w:tc>
      </w:tr>
      <w:tr>
        <w:tc>
          <w:tcPr>
            <w:tcW w:type="dxa" w:w="2412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Entropy</w:t>
            </w:r>
          </w:p>
        </w:tc>
        <w:tc>
          <w:tcPr>
            <w:tcW w:type="dxa" w:w="2412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4.946796 +/- 0.060048</w:t>
            </w:r>
          </w:p>
        </w:tc>
        <w:tc>
          <w:tcPr>
            <w:tcW w:type="dxa" w:w="2412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4.565555 +/- 0.202586</w:t>
            </w:r>
          </w:p>
        </w:tc>
        <w:tc>
          <w:tcPr>
            <w:tcW w:type="dxa" w:w="2412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Descriptive only</w:t>
            </w:r>
          </w:p>
        </w:tc>
      </w:tr>
    </w:tbl>
    <w:p>
      <w:pPr>
        <w:spacing w:before="140" w:after="40"/>
      </w:pPr>
      <w:r>
        <w:rPr>
          <w:rFonts w:ascii="Arial" w:hAnsi="Arial"/>
          <w:b/>
          <w:sz w:val="24"/>
        </w:rPr>
        <w:t>Decision / Next Gate</w:t>
      </w:r>
    </w:p>
    <w:p>
      <w:pPr>
        <w:spacing w:before="40" w:after="100"/>
        <w:jc w:val="center"/>
      </w:pPr>
      <w:r>
        <w:rPr>
          <w:b/>
          <w:sz w:val="22"/>
        </w:rPr>
        <w:t>Conclude that matched U-Net leads mean pixel metrics while the residual model leads mean SSIM and Delta E.</w:t>
      </w:r>
    </w:p>
    <w:p>
      <w:pPr>
        <w:spacing w:before="140" w:after="40"/>
      </w:pPr>
      <w:r>
        <w:rPr>
          <w:rFonts w:ascii="Arial" w:hAnsi="Arial"/>
          <w:b/>
          <w:sz w:val="24"/>
        </w:rPr>
        <w:t>Notes</w:t>
      </w:r>
    </w:p>
    <w:p>
      <w:pPr>
        <w:pStyle w:val="ListBullet"/>
        <w:spacing w:after="20"/>
      </w:pPr>
      <w:r>
        <w:t>The residual model leads on SSIM and Delta E; the matched U-Net leads on MSE, MAE, and PSNR.</w:t>
      </w:r>
    </w:p>
    <w:p>
      <w:pPr>
        <w:keepNext/>
        <w:spacing w:before="40" w:after="20"/>
        <w:jc w:val="center"/>
      </w:pPr>
      <w:r>
        <w:drawing>
          <wp:inline xmlns:a="http://schemas.openxmlformats.org/drawingml/2006/main" xmlns:pic="http://schemas.openxmlformats.org/drawingml/2006/picture">
            <wp:extent cx="5303520" cy="43298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ct_capacity_comparis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329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Calibri" w:hAnsi="Calibri"/>
          <w:i/>
          <w:sz w:val="17"/>
        </w:rPr>
        <w:t>Matching parameter-matched U-Net and residual restoration examples.</w:t>
      </w:r>
    </w:p>
    <w:sectPr w:rsidR="00FC693F" w:rsidRPr="0006063C" w:rsidSect="00034616">
      <w:footerReference w:type="default" r:id="rId9"/>
      <w:pgSz w:w="12240" w:h="15840"/>
      <w:pgMar w:top="1152" w:right="1296" w:bottom="1008" w:left="1296" w:header="720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fldChar w:fldCharType="begin"/>
      <w:instrText xml:space="preserve"> PAGE 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