
<file path=[Content_Types].xml><?xml version="1.0" encoding="utf-8"?>
<Types xmlns="http://schemas.openxmlformats.org/package/2006/content-types">
  <Default ContentType="application/vnd.openxmlformats-package.relationships+xml" Extension="rels"/>
  <Default ContentType="application/xml" Extension="xml"/>
  <Override ContentType="application/vnd.openxmlformats-officedocument.customXmlProperties+xml" PartName="/customXml/itemProps1.xml"/>
  <Override ContentType="application/vnd.openxmlformats-officedocument.extended-properties+xml" PartName="/docProps/app.xml"/>
  <Override ContentType="application/vnd.openxmlformats-package.core-properties+xml" PartName="/docProps/core.xml"/>
  <Override ContentType="application/vnd.openxmlformats-officedocument.custom-properties+xml" PartName="/docProps/custom.xml"/>
  <Override ContentType="application/vnd.openxmlformats-officedocument.wordprocessingml.template.main+xml" PartName="/word/document.xml"/>
  <Override ContentType="application/vnd.openxmlformats-officedocument.wordprocessingml.fontTable+xml" PartName="/word/fontTable.xml"/>
  <Override ContentType="application/vnd.openxmlformats-officedocument.wordprocessingml.numbering+xml" PartName="/word/numbering.xml"/>
  <Override ContentType="application/vnd.openxmlformats-officedocument.wordprocessingml.settings+xml" PartName="/word/settings.xml"/>
  <Override ContentType="application/vnd.openxmlformats-officedocument.wordprocessingml.styles+xml" PartName="/word/styles.xml"/>
  <Override ContentType="application/vnd.openxmlformats-officedocument.theme+xml" PartName="/word/theme/theme1.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5" Type="http://schemas.microsoft.com/office/2006/relationships/ui/userCustomization" Target="userCustomization/customUI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numPr>
          <w:numId w:val="0"/>
        </w:numPr>
        <w:rPr>
          <w:rFonts w:hint="default"/>
          <w:sz w:val="24"/>
          <w:szCs w:val="24"/>
        </w:rPr>
      </w:pPr>
      <w:r>
        <w:rPr>
          <w:rFonts w:hint="eastAsia"/>
          <w:sz w:val="24"/>
          <w:szCs w:val="24"/>
        </w:rPr>
        <w:t>3.2.</w:t>
      </w:r>
      <w:r>
        <w:rPr>
          <w:rFonts w:hint="default"/>
          <w:sz w:val="24"/>
          <w:szCs w:val="24"/>
        </w:rPr>
        <w:t>5</w:t>
      </w:r>
      <w:r>
        <w:rPr>
          <w:rFonts w:hint="eastAsia"/>
          <w:sz w:val="24"/>
          <w:szCs w:val="24"/>
        </w:rPr>
        <w:t xml:space="preserve"> </w:t>
      </w:r>
      <w:r>
        <w:rPr>
          <w:rFonts w:hint="default"/>
          <w:sz w:val="24"/>
          <w:szCs w:val="24"/>
        </w:rPr>
        <w:t>查询大盘指数</w:t>
      </w:r>
    </w:p>
    <w:p>
      <w:pPr>
        <w:numPr>
          <w:numId w:val="0"/>
        </w:numPr>
        <w:ind w:firstLine="420" w:firstLineChars="0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3.2.5.1特性描述</w:t>
      </w:r>
    </w:p>
    <w:p>
      <w:pPr>
        <w:ind w:left="420" w:leftChars="0" w:firstLine="420" w:firstLineChars="0"/>
        <w:rPr>
          <w:rFonts w:hint="default"/>
        </w:rPr>
      </w:pPr>
      <w:r>
        <w:rPr>
          <w:rFonts w:hint="default"/>
        </w:rPr>
        <w:t>用户可以查询各个证交所每天的详细数据，当用户选择某证交所后，系统显示该证交所当天的详细数据（今开，昨收，最高，最低，成交量，成交额）；</w:t>
      </w:r>
    </w:p>
    <w:p>
      <w:pPr>
        <w:ind w:left="420" w:leftChars="0" w:firstLine="420" w:firstLineChars="0"/>
        <w:rPr>
          <w:rFonts w:hint="default"/>
        </w:rPr>
      </w:pPr>
      <w:r>
        <w:rPr>
          <w:rFonts w:hint="default"/>
        </w:rPr>
        <w:t>用户可以选择日期，系统显示该证交所选择日期的详细数据。</w:t>
      </w:r>
    </w:p>
    <w:p>
      <w:pPr>
        <w:ind w:left="420" w:leftChars="0" w:firstLine="420" w:firstLineChars="0"/>
        <w:rPr>
          <w:rFonts w:hint="default"/>
        </w:rPr>
      </w:pPr>
      <w:r>
        <w:rPr>
          <w:rFonts w:hint="default"/>
        </w:rPr>
        <w:t>优先级 = 中</w:t>
      </w:r>
    </w:p>
    <w:p>
      <w:pPr>
        <w:ind w:firstLine="420" w:firstLineChars="0"/>
        <w:rPr>
          <w:rFonts w:hint="default"/>
          <w:sz w:val="24"/>
          <w:szCs w:val="22"/>
        </w:rPr>
      </w:pPr>
      <w:r>
        <w:rPr>
          <w:rFonts w:hint="default"/>
          <w:sz w:val="24"/>
          <w:szCs w:val="22"/>
        </w:rPr>
        <w:t>3.2.5.2刺激/响应序列</w:t>
      </w:r>
    </w:p>
    <w:p>
      <w:pPr>
        <w:ind w:left="420" w:leftChars="0" w:firstLine="420" w:firstLineChars="0"/>
        <w:rPr>
          <w:rFonts w:hint="default"/>
          <w:sz w:val="21"/>
          <w:szCs w:val="20"/>
        </w:rPr>
      </w:pPr>
      <w:r>
        <w:rPr>
          <w:rFonts w:hint="default"/>
          <w:sz w:val="21"/>
          <w:szCs w:val="20"/>
        </w:rPr>
        <w:t>刺激：用户选择证交所</w:t>
      </w:r>
    </w:p>
    <w:p>
      <w:pPr>
        <w:ind w:left="420" w:leftChars="0" w:firstLine="420" w:firstLineChars="0"/>
        <w:rPr>
          <w:rFonts w:hint="default"/>
          <w:sz w:val="21"/>
          <w:szCs w:val="20"/>
        </w:rPr>
      </w:pPr>
      <w:r>
        <w:rPr>
          <w:rFonts w:hint="default"/>
          <w:sz w:val="21"/>
          <w:szCs w:val="20"/>
        </w:rPr>
        <w:t>响应：系统显示详细数据</w:t>
      </w:r>
    </w:p>
    <w:p>
      <w:pPr>
        <w:ind w:left="420" w:leftChars="0" w:firstLine="420" w:firstLineChars="0"/>
        <w:rPr>
          <w:rFonts w:hint="default"/>
          <w:sz w:val="21"/>
          <w:szCs w:val="20"/>
        </w:rPr>
      </w:pPr>
      <w:r>
        <w:rPr>
          <w:rFonts w:hint="default"/>
          <w:sz w:val="21"/>
          <w:szCs w:val="20"/>
        </w:rPr>
        <w:t>刺激：用户选择日期</w:t>
      </w:r>
    </w:p>
    <w:p>
      <w:pPr>
        <w:ind w:left="420" w:leftChars="0" w:firstLine="420" w:firstLineChars="0"/>
        <w:rPr>
          <w:rFonts w:hint="default"/>
          <w:sz w:val="21"/>
          <w:szCs w:val="20"/>
        </w:rPr>
      </w:pPr>
      <w:r>
        <w:rPr>
          <w:rFonts w:hint="default"/>
          <w:sz w:val="21"/>
          <w:szCs w:val="20"/>
        </w:rPr>
        <w:t>响应：系统显示所选日期详细数据</w:t>
      </w:r>
    </w:p>
    <w:p>
      <w:pPr>
        <w:ind w:left="420" w:leftChars="0" w:firstLine="420" w:firstLineChars="0"/>
        <w:rPr>
          <w:rFonts w:hint="default"/>
          <w:sz w:val="21"/>
          <w:szCs w:val="20"/>
        </w:rPr>
      </w:pPr>
      <w:r>
        <w:rPr>
          <w:rFonts w:hint="default"/>
          <w:sz w:val="21"/>
          <w:szCs w:val="20"/>
        </w:rPr>
        <w:t>刺激：用户取消查询大盘指数任务</w:t>
      </w:r>
    </w:p>
    <w:p>
      <w:pPr>
        <w:ind w:left="420" w:leftChars="0" w:firstLine="420" w:firstLineChars="0"/>
        <w:rPr>
          <w:rFonts w:hint="default"/>
          <w:sz w:val="21"/>
          <w:szCs w:val="20"/>
        </w:rPr>
      </w:pPr>
      <w:r>
        <w:rPr>
          <w:rFonts w:hint="default"/>
          <w:sz w:val="21"/>
          <w:szCs w:val="20"/>
        </w:rPr>
        <w:t>响应：系统关闭当前任务</w:t>
      </w:r>
    </w:p>
    <w:p>
      <w:pPr>
        <w:ind w:firstLine="420" w:firstLineChars="0"/>
        <w:rPr>
          <w:rFonts w:hint="default"/>
          <w:sz w:val="24"/>
          <w:szCs w:val="22"/>
        </w:rPr>
      </w:pPr>
      <w:r>
        <w:rPr>
          <w:rFonts w:hint="default"/>
          <w:sz w:val="24"/>
          <w:szCs w:val="22"/>
        </w:rPr>
        <w:t>3.2.5.3相关功能需求</w:t>
      </w:r>
      <w:bookmarkStart w:id="0" w:name="_GoBack"/>
      <w:bookmarkEnd w:id="0"/>
    </w:p>
    <w:tbl>
      <w:tblPr>
        <w:tblStyle w:val="4"/>
        <w:tblW w:w="7908" w:type="dxa"/>
        <w:tblInd w:w="-951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4222"/>
        <w:gridCol w:w="3686"/>
      </w:tblGrid>
      <w:tr>
        <w:tc>
          <w:tcPr>
            <w:tcW w:w="4222" w:type="dxa"/>
            <w:vAlign w:val="top"/>
          </w:tcPr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SearchLogistics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Index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.Input</w:t>
            </w: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SearchLogistics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Index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.Input.Inquiry</w:t>
            </w: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earchLogistics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Index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.Input.Cancel</w:t>
            </w: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SearchLogistics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Index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.Input.Invalid</w:t>
            </w:r>
          </w:p>
        </w:tc>
        <w:tc>
          <w:tcPr>
            <w:tcW w:w="3686" w:type="dxa"/>
            <w:vAlign w:val="top"/>
          </w:tcPr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系统应允许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用户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在查询任务中进行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鼠标点击操作</w:t>
            </w: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在寄件人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点击某证交所输入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查询命令时，系统执行查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询大盘指数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任务，参见SearchLogistics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Index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.Number</w:t>
            </w: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寄件人输入取消查询物流信息的命令时，系统关闭当前查询物流信息任务</w:t>
            </w: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寄件人输入其他标识时，系统显示输入无效</w:t>
            </w:r>
          </w:p>
        </w:tc>
      </w:tr>
      <w:tr>
        <w:tc>
          <w:tcPr>
            <w:tcW w:w="4222" w:type="dxa"/>
            <w:vAlign w:val="top"/>
          </w:tcPr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SearchLogistics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Index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.Number</w:t>
            </w: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SearchLogistics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Index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.Number.Valid</w:t>
            </w: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SearchLogistics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Index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.Number.Invalid</w:t>
            </w:r>
          </w:p>
        </w:tc>
        <w:tc>
          <w:tcPr>
            <w:tcW w:w="3686" w:type="dxa"/>
            <w:vAlign w:val="top"/>
          </w:tcPr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系统允许寄件人在查询任务最开始时输入快递单号</w:t>
            </w: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输入快递单号有效，系统显示当前货运状态，参见SearchLogistics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Index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.Display</w:t>
            </w: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快递单号无效，则系统显示输入无效</w:t>
            </w:r>
          </w:p>
        </w:tc>
      </w:tr>
      <w:tr>
        <w:tc>
          <w:tcPr>
            <w:tcW w:w="4222" w:type="dxa"/>
            <w:vAlign w:val="top"/>
          </w:tcPr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SearchLogistics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Index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.Display</w:t>
            </w:r>
          </w:p>
        </w:tc>
        <w:tc>
          <w:tcPr>
            <w:tcW w:w="3686" w:type="dxa"/>
            <w:vAlign w:val="top"/>
          </w:tcPr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系统显示当前货运状态</w:t>
            </w:r>
          </w:p>
        </w:tc>
      </w:tr>
      <w:tr>
        <w:tc>
          <w:tcPr>
            <w:tcW w:w="4222" w:type="dxa"/>
            <w:vAlign w:val="top"/>
          </w:tcPr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SearchLogistics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Index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.End</w:t>
            </w: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SearchLogistics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Index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.End.TimeOut</w:t>
            </w: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SearchLogistics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Index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.End.Close</w:t>
            </w:r>
          </w:p>
        </w:tc>
        <w:tc>
          <w:tcPr>
            <w:tcW w:w="3686" w:type="dxa"/>
            <w:vAlign w:val="top"/>
          </w:tcPr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系统应允许寄件人要求结束查询物流信息任务</w:t>
            </w: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任务开始两个小时后还没接收到寄件人的输入，系统取消查询任务</w:t>
            </w: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寄件人确认快递单号输入完成，系统关闭查询物流信息任务，参见SearchLogistics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Index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.Close</w:t>
            </w:r>
          </w:p>
        </w:tc>
      </w:tr>
      <w:tr>
        <w:tc>
          <w:tcPr>
            <w:tcW w:w="4222" w:type="dxa"/>
            <w:vAlign w:val="top"/>
          </w:tcPr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SearchLogistics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Index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.Close</w:t>
            </w:r>
          </w:p>
        </w:tc>
        <w:tc>
          <w:tcPr>
            <w:tcW w:w="3686" w:type="dxa"/>
            <w:vAlign w:val="top"/>
          </w:tcPr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系统关闭查询物流信息任务</w:t>
            </w:r>
          </w:p>
        </w:tc>
      </w:tr>
    </w:tbl>
    <w:p>
      <w:pPr>
        <w:ind w:left="420" w:leftChars="0" w:firstLine="420" w:firstLineChars="0"/>
        <w:rPr>
          <w:rFonts w:hint="default"/>
          <w:sz w:val="21"/>
          <w:szCs w:val="20"/>
        </w:rPr>
      </w:pPr>
    </w:p>
    <w:p>
      <w:pPr>
        <w:numPr>
          <w:numId w:val="0"/>
        </w:numPr>
        <w:rPr>
          <w:rFonts w:hint="default"/>
          <w:sz w:val="24"/>
          <w:szCs w:val="24"/>
        </w:rPr>
      </w:pPr>
      <w:r>
        <w:rPr>
          <w:rFonts w:hint="eastAsia"/>
          <w:sz w:val="24"/>
          <w:szCs w:val="24"/>
        </w:rPr>
        <w:t>3.2.</w:t>
      </w:r>
      <w:r>
        <w:rPr>
          <w:rFonts w:hint="default"/>
          <w:sz w:val="24"/>
          <w:szCs w:val="24"/>
        </w:rPr>
        <w:t>9</w:t>
      </w:r>
      <w:r>
        <w:rPr>
          <w:rFonts w:hint="eastAsia"/>
          <w:sz w:val="24"/>
          <w:szCs w:val="24"/>
        </w:rPr>
        <w:t xml:space="preserve"> </w:t>
      </w:r>
      <w:r>
        <w:rPr>
          <w:sz w:val="24"/>
          <w:szCs w:val="22"/>
        </w:rPr>
        <w:t>查</w:t>
      </w:r>
      <w:r>
        <w:rPr>
          <w:sz w:val="24"/>
          <w:szCs w:val="22"/>
        </w:rPr>
        <w:t>询</w:t>
      </w:r>
      <w:r>
        <w:rPr>
          <w:sz w:val="24"/>
          <w:szCs w:val="22"/>
        </w:rPr>
        <w:t>关注历史</w:t>
      </w:r>
    </w:p>
    <w:p>
      <w:pPr>
        <w:numPr>
          <w:numId w:val="0"/>
        </w:numPr>
        <w:ind w:firstLine="420" w:firstLineChars="0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3.2.</w:t>
      </w:r>
      <w:r>
        <w:rPr>
          <w:rFonts w:hint="default"/>
          <w:sz w:val="24"/>
          <w:szCs w:val="24"/>
        </w:rPr>
        <w:t>9</w:t>
      </w:r>
      <w:r>
        <w:rPr>
          <w:rFonts w:hint="default"/>
          <w:sz w:val="24"/>
          <w:szCs w:val="24"/>
        </w:rPr>
        <w:t>.1特性描述</w:t>
      </w:r>
    </w:p>
    <w:p>
      <w:pPr>
        <w:ind w:left="420" w:leftChars="0" w:firstLine="420" w:firstLineChars="0"/>
        <w:rPr>
          <w:rFonts w:hint="default"/>
        </w:rPr>
      </w:pPr>
      <w:r>
        <w:rPr>
          <w:rFonts w:hint="default"/>
        </w:rPr>
        <w:t>用户可以查</w:t>
      </w:r>
      <w:r>
        <w:rPr>
          <w:rFonts w:hint="default"/>
        </w:rPr>
        <w:t>询</w:t>
      </w:r>
      <w:r>
        <w:rPr>
          <w:rFonts w:hint="default"/>
        </w:rPr>
        <w:t>各个证交所每天的详细数据，当用户选择某证交所后，系统显示该证交所当天的详细数据（今开，昨收，最高，最低，成交量，成交额）；</w:t>
      </w:r>
    </w:p>
    <w:p>
      <w:pPr>
        <w:ind w:left="420" w:leftChars="0" w:firstLine="420" w:firstLineChars="0"/>
        <w:rPr>
          <w:rFonts w:hint="default"/>
        </w:rPr>
      </w:pPr>
      <w:r>
        <w:rPr>
          <w:rFonts w:hint="default"/>
        </w:rPr>
        <w:t>用户可以选择日期，系统显示该证交所选择日期的详细数据。</w:t>
      </w:r>
    </w:p>
    <w:p>
      <w:pPr>
        <w:ind w:left="420" w:leftChars="0" w:firstLine="420" w:firstLineChars="0"/>
        <w:rPr>
          <w:rFonts w:hint="default"/>
        </w:rPr>
      </w:pPr>
      <w:r>
        <w:rPr>
          <w:rFonts w:hint="default"/>
        </w:rPr>
        <w:t>优先级 = 中</w:t>
      </w:r>
    </w:p>
    <w:p>
      <w:pPr>
        <w:ind w:firstLine="420" w:firstLineChars="0"/>
        <w:rPr>
          <w:rFonts w:hint="default"/>
          <w:sz w:val="24"/>
          <w:szCs w:val="22"/>
        </w:rPr>
      </w:pPr>
      <w:r>
        <w:rPr>
          <w:rFonts w:hint="default"/>
          <w:sz w:val="24"/>
          <w:szCs w:val="22"/>
        </w:rPr>
        <w:t>3.2.</w:t>
      </w:r>
      <w:r>
        <w:rPr>
          <w:rFonts w:hint="default"/>
          <w:sz w:val="24"/>
          <w:szCs w:val="22"/>
        </w:rPr>
        <w:t>9</w:t>
      </w:r>
      <w:r>
        <w:rPr>
          <w:rFonts w:hint="default"/>
          <w:sz w:val="24"/>
          <w:szCs w:val="22"/>
        </w:rPr>
        <w:t>.2刺激/响应序列</w:t>
      </w:r>
    </w:p>
    <w:p>
      <w:pPr>
        <w:ind w:left="420" w:leftChars="0" w:firstLine="420" w:firstLineChars="0"/>
        <w:rPr>
          <w:rFonts w:hint="default"/>
          <w:sz w:val="21"/>
          <w:szCs w:val="20"/>
        </w:rPr>
      </w:pPr>
      <w:r>
        <w:rPr>
          <w:rFonts w:hint="default"/>
          <w:sz w:val="21"/>
          <w:szCs w:val="20"/>
        </w:rPr>
        <w:t>刺激：用户选择证交所</w:t>
      </w:r>
    </w:p>
    <w:p>
      <w:pPr>
        <w:ind w:left="420" w:leftChars="0" w:firstLine="420" w:firstLineChars="0"/>
        <w:rPr>
          <w:rFonts w:hint="default"/>
          <w:sz w:val="21"/>
          <w:szCs w:val="20"/>
        </w:rPr>
      </w:pPr>
      <w:r>
        <w:rPr>
          <w:rFonts w:hint="default"/>
          <w:sz w:val="21"/>
          <w:szCs w:val="20"/>
        </w:rPr>
        <w:t>响应：系统显示详细数据</w:t>
      </w:r>
    </w:p>
    <w:p>
      <w:pPr>
        <w:ind w:left="420" w:leftChars="0" w:firstLine="420" w:firstLineChars="0"/>
        <w:rPr>
          <w:rFonts w:hint="default"/>
          <w:sz w:val="21"/>
          <w:szCs w:val="20"/>
        </w:rPr>
      </w:pPr>
      <w:r>
        <w:rPr>
          <w:rFonts w:hint="default"/>
          <w:sz w:val="21"/>
          <w:szCs w:val="20"/>
        </w:rPr>
        <w:t>刺激：用户选择日期</w:t>
      </w:r>
    </w:p>
    <w:p>
      <w:pPr>
        <w:ind w:left="420" w:leftChars="0" w:firstLine="420" w:firstLineChars="0"/>
        <w:rPr>
          <w:rFonts w:hint="default"/>
          <w:sz w:val="21"/>
          <w:szCs w:val="20"/>
        </w:rPr>
      </w:pPr>
      <w:r>
        <w:rPr>
          <w:rFonts w:hint="default"/>
          <w:sz w:val="21"/>
          <w:szCs w:val="20"/>
        </w:rPr>
        <w:t>响应：系统显示所选日期详细数据</w:t>
      </w:r>
    </w:p>
    <w:p>
      <w:pPr>
        <w:ind w:left="420" w:leftChars="0" w:firstLine="420" w:firstLineChars="0"/>
        <w:rPr>
          <w:rFonts w:hint="default"/>
          <w:sz w:val="21"/>
          <w:szCs w:val="20"/>
        </w:rPr>
      </w:pPr>
      <w:r>
        <w:rPr>
          <w:rFonts w:hint="default"/>
          <w:sz w:val="21"/>
          <w:szCs w:val="20"/>
        </w:rPr>
        <w:t>刺激：用户取消查</w:t>
      </w:r>
      <w:r>
        <w:rPr>
          <w:rFonts w:hint="default"/>
          <w:sz w:val="21"/>
          <w:szCs w:val="20"/>
        </w:rPr>
        <w:t>询</w:t>
      </w:r>
      <w:r>
        <w:rPr>
          <w:rFonts w:hint="default"/>
          <w:sz w:val="21"/>
          <w:szCs w:val="20"/>
        </w:rPr>
        <w:t>大盘指数任务</w:t>
      </w:r>
    </w:p>
    <w:p>
      <w:pPr>
        <w:ind w:left="420" w:leftChars="0" w:firstLine="420" w:firstLineChars="0"/>
        <w:rPr>
          <w:rFonts w:hint="default"/>
          <w:sz w:val="21"/>
          <w:szCs w:val="20"/>
        </w:rPr>
      </w:pPr>
      <w:r>
        <w:rPr>
          <w:rFonts w:hint="default"/>
          <w:sz w:val="21"/>
          <w:szCs w:val="20"/>
        </w:rPr>
        <w:t>响应：系统关闭当前任务</w:t>
      </w:r>
    </w:p>
    <w:p>
      <w:pPr>
        <w:ind w:firstLine="420" w:firstLineChars="0"/>
        <w:rPr>
          <w:rFonts w:hint="default"/>
          <w:sz w:val="24"/>
          <w:szCs w:val="22"/>
        </w:rPr>
      </w:pPr>
      <w:r>
        <w:rPr>
          <w:rFonts w:hint="default"/>
          <w:sz w:val="24"/>
          <w:szCs w:val="22"/>
        </w:rPr>
        <w:t>3.2.</w:t>
      </w:r>
      <w:r>
        <w:rPr>
          <w:rFonts w:hint="default"/>
          <w:sz w:val="24"/>
          <w:szCs w:val="22"/>
        </w:rPr>
        <w:t>9</w:t>
      </w:r>
      <w:r>
        <w:rPr>
          <w:rFonts w:hint="default"/>
          <w:sz w:val="24"/>
          <w:szCs w:val="22"/>
        </w:rPr>
        <w:t>.3相关功能需求</w:t>
      </w:r>
    </w:p>
    <w:tbl>
      <w:tblPr>
        <w:tblStyle w:val="4"/>
        <w:tblW w:w="7908" w:type="dxa"/>
        <w:tblInd w:w="309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4222"/>
        <w:gridCol w:w="3686"/>
      </w:tblGrid>
      <w:tr>
        <w:tc>
          <w:tcPr>
            <w:tcW w:w="4222" w:type="dxa"/>
            <w:vAlign w:val="top"/>
          </w:tcPr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SearchLogistics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Index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.Input</w:t>
            </w: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SearchLogistics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Index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.Input.Inquiry</w:t>
            </w: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earchLogistics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Index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.Input.Cancel</w:t>
            </w: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SearchLogistics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Index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.Input.Invalid</w:t>
            </w:r>
          </w:p>
        </w:tc>
        <w:tc>
          <w:tcPr>
            <w:tcW w:w="3686" w:type="dxa"/>
            <w:vAlign w:val="top"/>
          </w:tcPr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系统应允许寄件人在查询任务中进行键盘输入</w:t>
            </w: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在寄件人输入查询命令时，系统执行查询物流信息任务，参见SearchLogistics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Index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.Number</w:t>
            </w: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寄件人输入取消查询物流信息的命令时，系统关闭当前查询物流信息任务</w:t>
            </w: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寄件人输入其他标识时，系统显示输入无效</w:t>
            </w:r>
          </w:p>
        </w:tc>
      </w:tr>
      <w:tr>
        <w:tc>
          <w:tcPr>
            <w:tcW w:w="4222" w:type="dxa"/>
            <w:vAlign w:val="top"/>
          </w:tcPr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SearchLogistics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Index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.Number</w:t>
            </w: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SearchLogistics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Index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.Number.Valid</w:t>
            </w: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SearchLogistics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Index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.Number.Invalid</w:t>
            </w:r>
          </w:p>
        </w:tc>
        <w:tc>
          <w:tcPr>
            <w:tcW w:w="3686" w:type="dxa"/>
            <w:vAlign w:val="top"/>
          </w:tcPr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系统允许寄件人在查询任务最开始时输入快递单号</w:t>
            </w: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输入快递单号有效，系统显示当前货运状态，参见SearchLogistics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Index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.Display</w:t>
            </w: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快递单号无效，则系统显示输入无效</w:t>
            </w:r>
          </w:p>
        </w:tc>
      </w:tr>
      <w:tr>
        <w:tc>
          <w:tcPr>
            <w:tcW w:w="4222" w:type="dxa"/>
            <w:vAlign w:val="top"/>
          </w:tcPr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SearchLogistics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Index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.Display</w:t>
            </w:r>
          </w:p>
        </w:tc>
        <w:tc>
          <w:tcPr>
            <w:tcW w:w="3686" w:type="dxa"/>
            <w:vAlign w:val="top"/>
          </w:tcPr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系统显示当前货运状态</w:t>
            </w:r>
          </w:p>
        </w:tc>
      </w:tr>
      <w:tr>
        <w:tc>
          <w:tcPr>
            <w:tcW w:w="4222" w:type="dxa"/>
            <w:vAlign w:val="top"/>
          </w:tcPr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SearchLogistics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Index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.End</w:t>
            </w: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SearchLogistics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Index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.End.TimeOut</w:t>
            </w: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SearchLogistics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Index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.End.Close</w:t>
            </w:r>
          </w:p>
        </w:tc>
        <w:tc>
          <w:tcPr>
            <w:tcW w:w="3686" w:type="dxa"/>
            <w:vAlign w:val="top"/>
          </w:tcPr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系统应允许寄件人要求结束查询物流信息任务</w:t>
            </w: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任务开始两个小时后还没接收到寄件人的输入，系统取消查询任务</w:t>
            </w: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寄件人确认快递单号输入完成，系统关闭查询物流信息任务，参见SearchLogistics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Index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.Close</w:t>
            </w:r>
          </w:p>
        </w:tc>
      </w:tr>
      <w:tr>
        <w:tc>
          <w:tcPr>
            <w:tcW w:w="4222" w:type="dxa"/>
            <w:vAlign w:val="top"/>
          </w:tcPr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SearchLogistics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Index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.Close</w:t>
            </w:r>
          </w:p>
        </w:tc>
        <w:tc>
          <w:tcPr>
            <w:tcW w:w="3686" w:type="dxa"/>
            <w:vAlign w:val="top"/>
          </w:tcPr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系统关闭查询物流信息任务</w:t>
            </w:r>
          </w:p>
        </w:tc>
      </w:tr>
    </w:tbl>
    <w:p>
      <w:pPr>
        <w:ind w:left="420" w:leftChars="0" w:firstLine="420" w:firstLineChars="0"/>
        <w:rPr>
          <w:rFonts w:hint="default"/>
          <w:sz w:val="21"/>
          <w:szCs w:val="20"/>
        </w:rPr>
      </w:pPr>
    </w:p>
    <w:p>
      <w:pPr>
        <w:numPr>
          <w:ilvl w:val="0"/>
          <w:numId w:val="1"/>
        </w:numPr>
        <w:rPr>
          <w:rFonts w:hint="default"/>
          <w:sz w:val="24"/>
          <w:szCs w:val="24"/>
        </w:rPr>
      </w:pPr>
      <w:r>
        <w:rPr>
          <w:rFonts w:hint="eastAsia"/>
          <w:sz w:val="24"/>
          <w:szCs w:val="24"/>
        </w:rPr>
        <w:t>3.2.</w:t>
      </w:r>
      <w:r>
        <w:rPr>
          <w:rFonts w:hint="default"/>
          <w:sz w:val="24"/>
          <w:szCs w:val="24"/>
        </w:rPr>
        <w:t>10</w:t>
      </w:r>
      <w:r>
        <w:rPr>
          <w:rFonts w:hint="eastAsia"/>
          <w:sz w:val="24"/>
          <w:szCs w:val="24"/>
        </w:rPr>
        <w:t xml:space="preserve"> </w:t>
      </w:r>
      <w:r>
        <w:rPr>
          <w:sz w:val="24"/>
          <w:szCs w:val="22"/>
        </w:rPr>
        <w:t>筛选股票信息</w:t>
      </w:r>
    </w:p>
    <w:p>
      <w:pPr>
        <w:numPr>
          <w:numId w:val="0"/>
        </w:numPr>
        <w:ind w:firstLine="420" w:firstLineChars="0"/>
        <w:rPr>
          <w:rFonts w:hint="default"/>
          <w:sz w:val="24"/>
          <w:szCs w:val="24"/>
        </w:rPr>
      </w:pPr>
      <w:r>
        <w:rPr>
          <w:rFonts w:hint="default"/>
          <w:sz w:val="24"/>
          <w:szCs w:val="24"/>
        </w:rPr>
        <w:t>3.2.</w:t>
      </w:r>
      <w:r>
        <w:rPr>
          <w:rFonts w:hint="default"/>
          <w:sz w:val="24"/>
          <w:szCs w:val="24"/>
        </w:rPr>
        <w:t>10</w:t>
      </w:r>
      <w:r>
        <w:rPr>
          <w:rFonts w:hint="default"/>
          <w:sz w:val="24"/>
          <w:szCs w:val="24"/>
        </w:rPr>
        <w:t>.1特性描述</w:t>
      </w:r>
    </w:p>
    <w:p>
      <w:pPr>
        <w:ind w:left="420" w:leftChars="0" w:firstLine="420" w:firstLineChars="0"/>
        <w:rPr>
          <w:rFonts w:hint="default"/>
        </w:rPr>
      </w:pPr>
      <w:r>
        <w:rPr>
          <w:rFonts w:hint="default"/>
        </w:rPr>
        <w:t>用户可以查</w:t>
      </w:r>
      <w:r>
        <w:rPr>
          <w:rFonts w:hint="default"/>
        </w:rPr>
        <w:t>询</w:t>
      </w:r>
      <w:r>
        <w:rPr>
          <w:rFonts w:hint="default"/>
        </w:rPr>
        <w:t>各个证交所每天的详细数据，当用户选择某证交所后，系统显示该证交所当天的详细数据（今开，昨收，最高，最低，成交量，成交额）；</w:t>
      </w:r>
    </w:p>
    <w:p>
      <w:pPr>
        <w:ind w:left="420" w:leftChars="0" w:firstLine="420" w:firstLineChars="0"/>
        <w:rPr>
          <w:rFonts w:hint="default"/>
        </w:rPr>
      </w:pPr>
      <w:r>
        <w:rPr>
          <w:rFonts w:hint="default"/>
        </w:rPr>
        <w:t>用户可以选择日期，系统显示该证交所选择日期的详细数据。</w:t>
      </w:r>
    </w:p>
    <w:p>
      <w:pPr>
        <w:ind w:left="420" w:leftChars="0" w:firstLine="420" w:firstLineChars="0"/>
        <w:rPr>
          <w:rFonts w:hint="default"/>
        </w:rPr>
      </w:pPr>
      <w:r>
        <w:rPr>
          <w:rFonts w:hint="default"/>
        </w:rPr>
        <w:t>优先级 = 中</w:t>
      </w:r>
    </w:p>
    <w:p>
      <w:pPr>
        <w:ind w:firstLine="420" w:firstLineChars="0"/>
        <w:rPr>
          <w:rFonts w:hint="default"/>
          <w:sz w:val="24"/>
          <w:szCs w:val="22"/>
        </w:rPr>
      </w:pPr>
      <w:r>
        <w:rPr>
          <w:rFonts w:hint="default"/>
          <w:sz w:val="24"/>
          <w:szCs w:val="22"/>
        </w:rPr>
        <w:t>3.2.</w:t>
      </w:r>
      <w:r>
        <w:rPr>
          <w:rFonts w:hint="default"/>
          <w:sz w:val="24"/>
          <w:szCs w:val="22"/>
        </w:rPr>
        <w:t>10</w:t>
      </w:r>
      <w:r>
        <w:rPr>
          <w:rFonts w:hint="default"/>
          <w:sz w:val="24"/>
          <w:szCs w:val="22"/>
        </w:rPr>
        <w:t>.2刺激/响应序列</w:t>
      </w:r>
    </w:p>
    <w:p>
      <w:pPr>
        <w:ind w:left="420" w:leftChars="0" w:firstLine="420" w:firstLineChars="0"/>
        <w:rPr>
          <w:rFonts w:hint="default"/>
          <w:sz w:val="21"/>
          <w:szCs w:val="20"/>
        </w:rPr>
      </w:pPr>
      <w:r>
        <w:rPr>
          <w:rFonts w:hint="default"/>
          <w:sz w:val="21"/>
          <w:szCs w:val="20"/>
        </w:rPr>
        <w:t>刺激：用户选择证交所</w:t>
      </w:r>
    </w:p>
    <w:p>
      <w:pPr>
        <w:ind w:left="420" w:leftChars="0" w:firstLine="420" w:firstLineChars="0"/>
        <w:rPr>
          <w:rFonts w:hint="default"/>
          <w:sz w:val="21"/>
          <w:szCs w:val="20"/>
        </w:rPr>
      </w:pPr>
      <w:r>
        <w:rPr>
          <w:rFonts w:hint="default"/>
          <w:sz w:val="21"/>
          <w:szCs w:val="20"/>
        </w:rPr>
        <w:t>响应：系统显示详细数据</w:t>
      </w:r>
    </w:p>
    <w:p>
      <w:pPr>
        <w:ind w:left="420" w:leftChars="0" w:firstLine="420" w:firstLineChars="0"/>
        <w:rPr>
          <w:rFonts w:hint="default"/>
          <w:sz w:val="21"/>
          <w:szCs w:val="20"/>
        </w:rPr>
      </w:pPr>
      <w:r>
        <w:rPr>
          <w:rFonts w:hint="default"/>
          <w:sz w:val="21"/>
          <w:szCs w:val="20"/>
        </w:rPr>
        <w:t>刺激：用户选择日期</w:t>
      </w:r>
    </w:p>
    <w:p>
      <w:pPr>
        <w:ind w:left="420" w:leftChars="0" w:firstLine="420" w:firstLineChars="0"/>
        <w:rPr>
          <w:rFonts w:hint="default"/>
          <w:sz w:val="21"/>
          <w:szCs w:val="20"/>
        </w:rPr>
      </w:pPr>
      <w:r>
        <w:rPr>
          <w:rFonts w:hint="default"/>
          <w:sz w:val="21"/>
          <w:szCs w:val="20"/>
        </w:rPr>
        <w:t>响应：系统显示所选日期详细数据</w:t>
      </w:r>
    </w:p>
    <w:p>
      <w:pPr>
        <w:ind w:left="420" w:leftChars="0" w:firstLine="420" w:firstLineChars="0"/>
        <w:rPr>
          <w:rFonts w:hint="default"/>
          <w:sz w:val="21"/>
          <w:szCs w:val="20"/>
        </w:rPr>
      </w:pPr>
      <w:r>
        <w:rPr>
          <w:rFonts w:hint="default"/>
          <w:sz w:val="21"/>
          <w:szCs w:val="20"/>
        </w:rPr>
        <w:t>刺激：用户取消查</w:t>
      </w:r>
      <w:r>
        <w:rPr>
          <w:rFonts w:hint="default"/>
          <w:sz w:val="21"/>
          <w:szCs w:val="20"/>
        </w:rPr>
        <w:t>询</w:t>
      </w:r>
      <w:r>
        <w:rPr>
          <w:rFonts w:hint="default"/>
          <w:sz w:val="21"/>
          <w:szCs w:val="20"/>
        </w:rPr>
        <w:t>大盘指数任务</w:t>
      </w:r>
    </w:p>
    <w:p>
      <w:pPr>
        <w:ind w:left="420" w:leftChars="0" w:firstLine="420" w:firstLineChars="0"/>
        <w:rPr>
          <w:rFonts w:hint="default"/>
          <w:sz w:val="21"/>
          <w:szCs w:val="20"/>
        </w:rPr>
      </w:pPr>
      <w:r>
        <w:rPr>
          <w:rFonts w:hint="default"/>
          <w:sz w:val="21"/>
          <w:szCs w:val="20"/>
        </w:rPr>
        <w:t>响应：系统关闭当前任务</w:t>
      </w:r>
    </w:p>
    <w:p>
      <w:pPr>
        <w:ind w:firstLine="420" w:firstLineChars="0"/>
        <w:rPr>
          <w:rFonts w:hint="default"/>
          <w:sz w:val="24"/>
          <w:szCs w:val="22"/>
        </w:rPr>
      </w:pPr>
      <w:r>
        <w:rPr>
          <w:rFonts w:hint="default"/>
          <w:sz w:val="24"/>
          <w:szCs w:val="22"/>
        </w:rPr>
        <w:t>3.2.</w:t>
      </w:r>
      <w:r>
        <w:rPr>
          <w:rFonts w:hint="default"/>
          <w:sz w:val="24"/>
          <w:szCs w:val="22"/>
        </w:rPr>
        <w:t>10</w:t>
      </w:r>
      <w:r>
        <w:rPr>
          <w:rFonts w:hint="default"/>
          <w:sz w:val="24"/>
          <w:szCs w:val="22"/>
        </w:rPr>
        <w:t>.3相关功能需求</w:t>
      </w:r>
    </w:p>
    <w:tbl>
      <w:tblPr>
        <w:tblStyle w:val="4"/>
        <w:tblW w:w="7908" w:type="dxa"/>
        <w:tblInd w:w="309" w:type="dxa"/>
        <w:tblBorders>
          <w:top w:val="single" w:color="auto" w:sz="4" w:space="0"/>
          <w:left w:val="single" w:color="auto" w:sz="4" w:space="0"/>
          <w:bottom w:val="single" w:color="auto" w:sz="4" w:space="0"/>
          <w:right w:val="single" w:color="auto" w:sz="4" w:space="0"/>
          <w:insideH w:val="single" w:color="auto" w:sz="4" w:space="0"/>
          <w:insideV w:val="single" w:color="auto" w:sz="4" w:space="0"/>
        </w:tblBorders>
        <w:tblLayout w:type="fixed"/>
        <w:tblCellMar>
          <w:top w:w="0" w:type="dxa"/>
          <w:left w:w="108" w:type="dxa"/>
          <w:bottom w:w="0" w:type="dxa"/>
          <w:right w:w="108" w:type="dxa"/>
        </w:tblCellMar>
      </w:tblPr>
      <w:tblGrid>
        <w:gridCol w:w="4222"/>
        <w:gridCol w:w="3686"/>
      </w:tblGrid>
      <w:tr>
        <w:tc>
          <w:tcPr>
            <w:tcW w:w="4222" w:type="dxa"/>
            <w:vAlign w:val="top"/>
          </w:tcPr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SearchLogistics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Index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.Input</w:t>
            </w: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SearchLogistics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Index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.Input.Inquiry</w:t>
            </w: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earchLogistics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Index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.Input.Cancel</w:t>
            </w: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SearchLogistics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Index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.Input.Invalid</w:t>
            </w:r>
          </w:p>
        </w:tc>
        <w:tc>
          <w:tcPr>
            <w:tcW w:w="3686" w:type="dxa"/>
            <w:vAlign w:val="top"/>
          </w:tcPr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系统应允许寄件人在查询任务中进行键盘输入</w:t>
            </w: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在寄件人输入查询命令时，系统执行查询物流信息任务，参见SearchLogistics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Index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.Number</w:t>
            </w: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寄件人输入取消查询物流信息的命令时，系统关闭当前查询物流信息任务</w:t>
            </w: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寄件人输入其他标识时，系统显示输入无效</w:t>
            </w:r>
          </w:p>
        </w:tc>
      </w:tr>
      <w:tr>
        <w:tc>
          <w:tcPr>
            <w:tcW w:w="4222" w:type="dxa"/>
            <w:vAlign w:val="top"/>
          </w:tcPr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SearchLogistics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Index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.Number</w:t>
            </w: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SearchLogistics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Index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.Number.Valid</w:t>
            </w: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SearchLogistics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Index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.Number.Invalid</w:t>
            </w:r>
          </w:p>
        </w:tc>
        <w:tc>
          <w:tcPr>
            <w:tcW w:w="3686" w:type="dxa"/>
            <w:vAlign w:val="top"/>
          </w:tcPr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系统允许寄件人在查询任务最开始时输入快递单号</w:t>
            </w: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输入快递单号有效，系统显示当前货运状态，参见SearchLogistics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Index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.Display</w:t>
            </w: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快递单号无效，则系统显示输入无效</w:t>
            </w:r>
          </w:p>
        </w:tc>
      </w:tr>
      <w:tr>
        <w:tc>
          <w:tcPr>
            <w:tcW w:w="4222" w:type="dxa"/>
            <w:vAlign w:val="top"/>
          </w:tcPr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SearchLogistics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Index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.Display</w:t>
            </w:r>
          </w:p>
        </w:tc>
        <w:tc>
          <w:tcPr>
            <w:tcW w:w="3686" w:type="dxa"/>
            <w:vAlign w:val="top"/>
          </w:tcPr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系统显示当前货运状态</w:t>
            </w:r>
          </w:p>
        </w:tc>
      </w:tr>
      <w:tr>
        <w:tc>
          <w:tcPr>
            <w:tcW w:w="4222" w:type="dxa"/>
            <w:vAlign w:val="top"/>
          </w:tcPr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SearchLogistics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Index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.End</w:t>
            </w: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SearchLogistics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Index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.End.TimeOut</w:t>
            </w: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SearchLogistics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Index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.End.Close</w:t>
            </w:r>
          </w:p>
        </w:tc>
        <w:tc>
          <w:tcPr>
            <w:tcW w:w="3686" w:type="dxa"/>
            <w:vAlign w:val="top"/>
          </w:tcPr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系统应允许寄件人要求结束查询物流信息任务</w:t>
            </w: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任务开始两个小时后还没接收到寄件人的输入，系统取消查询任务</w:t>
            </w:r>
          </w:p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寄件人确认快递单号输入完成，系统关闭查询物流信息任务，参见SearchLogistics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Index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.Close</w:t>
            </w:r>
          </w:p>
        </w:tc>
      </w:tr>
      <w:tr>
        <w:tc>
          <w:tcPr>
            <w:tcW w:w="4222" w:type="dxa"/>
            <w:vAlign w:val="top"/>
          </w:tcPr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SearchLogistics</w:t>
            </w:r>
            <w:r>
              <w:rPr>
                <w:rFonts w:hint="default" w:ascii="Calibri" w:hAnsi="Calibri" w:cs="黑体"/>
                <w:kern w:val="2"/>
                <w:sz w:val="21"/>
                <w:szCs w:val="22"/>
              </w:rPr>
              <w:t>Index</w:t>
            </w: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.Close</w:t>
            </w:r>
          </w:p>
        </w:tc>
        <w:tc>
          <w:tcPr>
            <w:tcW w:w="3686" w:type="dxa"/>
            <w:vAlign w:val="top"/>
          </w:tcPr>
          <w:p>
            <w:pPr>
              <w:rPr>
                <w:rFonts w:ascii="Calibri" w:hAnsi="Calibri" w:eastAsia="宋体" w:cs="黑体"/>
                <w:kern w:val="2"/>
                <w:sz w:val="21"/>
                <w:szCs w:val="22"/>
              </w:rPr>
            </w:pPr>
            <w:r>
              <w:rPr>
                <w:rFonts w:hint="eastAsia" w:ascii="Calibri" w:hAnsi="Calibri" w:eastAsia="宋体" w:cs="黑体"/>
                <w:kern w:val="2"/>
                <w:sz w:val="21"/>
                <w:szCs w:val="22"/>
              </w:rPr>
              <w:t>系统关闭查询物流信息任务</w:t>
            </w:r>
          </w:p>
        </w:tc>
      </w:tr>
    </w:tbl>
    <w:p>
      <w:pPr>
        <w:ind w:left="420" w:leftChars="0" w:firstLine="420" w:firstLineChars="0"/>
        <w:rPr>
          <w:rFonts w:hint="default"/>
          <w:sz w:val="21"/>
          <w:szCs w:val="20"/>
        </w:rPr>
      </w:pPr>
    </w:p>
    <w:p>
      <w:pPr>
        <w:ind w:left="420" w:leftChars="0" w:firstLine="420" w:firstLineChars="0"/>
        <w:rPr>
          <w:rFonts w:hint="default"/>
          <w:sz w:val="21"/>
          <w:szCs w:val="20"/>
        </w:rPr>
      </w:pPr>
    </w:p>
    <w:p>
      <w:pPr>
        <w:ind w:left="420" w:leftChars="0" w:firstLine="420" w:firstLineChars="0"/>
        <w:rPr>
          <w:rFonts w:hint="default"/>
          <w:sz w:val="21"/>
          <w:szCs w:val="20"/>
        </w:rPr>
      </w:pPr>
    </w:p>
    <w:sectPr>
      <w:pgSz w:w="11906" w:h="16838"/>
      <w:pgMar w:top="1440" w:right="1800" w:bottom="1440" w:left="1800" w:header="851" w:footer="992" w:gutter="0"/>
      <w:cols w:space="720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altName w:val="方正书宋_GBK"/>
    <w:panose1 w:val="02010600030101010101"/>
    <w:charset w:val="86"/>
    <w:family w:val="auto"/>
    <w:pitch w:val="default"/>
    <w:sig w:usb0="00000000" w:usb1="00000000" w:usb2="00000000" w:usb3="00000000" w:csb0="00000000" w:csb1="00000000"/>
  </w:font>
  <w:font w:name="Wingdings">
    <w:altName w:val="方正宋体S-超大字符集(SIP)"/>
    <w:panose1 w:val="05000000000000000000"/>
    <w:charset w:val="00"/>
    <w:family w:val="auto"/>
    <w:pitch w:val="default"/>
    <w:sig w:usb0="00000000" w:usb1="00000000" w:usb2="00000000" w:usb3="00000000" w:csb0="80000000" w:csb1="00000000"/>
  </w:font>
  <w:font w:name="Arial">
    <w:altName w:val="DejaVu Sans"/>
    <w:panose1 w:val="020B0604020202020204"/>
    <w:charset w:val="00"/>
    <w:family w:val="swiss"/>
    <w:pitch w:val="default"/>
    <w:sig w:usb0="E0002AFF" w:usb1="C0007843" w:usb2="00000009" w:usb3="00000000" w:csb0="400001FF" w:csb1="FFFF0000"/>
  </w:font>
  <w:font w:name="黑体">
    <w:altName w:val="方正黑体_GBK"/>
    <w:panose1 w:val="02010609060101010101"/>
    <w:charset w:val="00"/>
    <w:family w:val="auto"/>
    <w:pitch w:val="default"/>
    <w:sig w:usb0="800002BF" w:usb1="38CF7CFA" w:usb2="00000016" w:usb3="00000000" w:csb0="00040001" w:csb1="00000000"/>
  </w:font>
  <w:font w:name="Courier New">
    <w:altName w:val="DejaVu Sans"/>
    <w:panose1 w:val="02070309020205020404"/>
    <w:charset w:val="00"/>
    <w:family w:val="modern"/>
    <w:pitch w:val="default"/>
    <w:sig w:usb0="E0002AFF" w:usb1="C0007843" w:usb2="00000009" w:usb3="00000000" w:csb0="400001FF" w:csb1="FFFF0000"/>
  </w:font>
  <w:font w:name="Symbol">
    <w:altName w:val="方正宋体S-超大字符集(SIP)"/>
    <w:panose1 w:val="05050102010706020507"/>
    <w:charset w:val="00"/>
    <w:family w:val="roman"/>
    <w:pitch w:val="default"/>
    <w:sig w:usb0="00000000" w:usb1="00000000" w:usb2="00000000" w:usb3="00000000" w:csb0="80000000" w:csb1="00000000"/>
  </w:font>
  <w:font w:name="方正书宋_GBK">
    <w:panose1 w:val="02000000000000000000"/>
    <w:charset w:val="86"/>
    <w:family w:val="auto"/>
    <w:pitch w:val="default"/>
    <w:sig w:usb0="00000001" w:usb1="08000000" w:usb2="00000000" w:usb3="00000000" w:csb0="00040000" w:csb1="00000000"/>
  </w:font>
  <w:font w:name="DejaVu Sans">
    <w:panose1 w:val="020B0603030804020204"/>
    <w:charset w:val="00"/>
    <w:family w:val="auto"/>
    <w:pitch w:val="default"/>
    <w:sig w:usb0="E7006EFF" w:usb1="D200FDFF" w:usb2="0A246029" w:usb3="0400200C" w:csb0="600001FF" w:csb1="DFFF0000"/>
  </w:font>
  <w:font w:name="方正宋体S-超大字符集(SIP)">
    <w:panose1 w:val="03000509000000000000"/>
    <w:charset w:val="86"/>
    <w:family w:val="auto"/>
    <w:pitch w:val="default"/>
    <w:sig w:usb0="00000003" w:usb1="0A0E0800" w:usb2="00000006" w:usb3="00000000" w:csb0="00040001" w:csb1="00000000"/>
  </w:font>
  <w:font w:name="方正黑体_GBK">
    <w:panose1 w:val="02000000000000000000"/>
    <w:charset w:val="86"/>
    <w:family w:val="auto"/>
    <w:pitch w:val="default"/>
    <w:sig w:usb0="00000001" w:usb1="08000000" w:usb2="00000000" w:usb3="00000000" w:csb0="00040000" w:csb1="00000000"/>
  </w:font>
  <w:font w:name="Calibri">
    <w:altName w:val="DejaVu Sans"/>
    <w:panose1 w:val="020F0502020204030204"/>
    <w:charset w:val="00"/>
    <w:family w:val="auto"/>
    <w:pitch w:val="default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1456757768">
    <w:nsid w:val="56D45C08"/>
    <w:multiLevelType w:val="singleLevel"/>
    <w:tmpl w:val="56D45C08"/>
    <w:lvl w:ilvl="0" w:tentative="1">
      <w:start w:val="9"/>
      <w:numFmt w:val="decimal"/>
      <w:suff w:val="nothing"/>
      <w:lvlText w:val="%1."/>
      <w:lvlJc w:val="left"/>
    </w:lvl>
  </w:abstractNum>
  <w:num w:numId="1">
    <w:abstractNumId w:val="145675776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 w:val="1"/>
  <w:bordersDoNotSurroundHeader w:val="1"/>
  <w:bordersDoNotSurroundFooter w:val="1"/>
  <w:documentProtection w:enforcement="0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splitPgBreakAndParaMark/>
    <w:doNotExpandShiftReturn/>
    <w:adjustLineHeightInTable/>
    <w:useFELayout/>
    <w:doNotUseIndentAsNumberingTabStop/>
    <w:useNormalStyleForList/>
    <w:useAltKinsokuLineBreakRules/>
    <w:allowSpaceOfSameStyleInTable/>
    <w:doNotSuppressIndentation/>
    <w:doNotAutofitConstrainedTables/>
    <w:autofitToFirstFixedWidthCell/>
    <w:displayHangulFixedWidth/>
    <w:doNotVertAlignCellWithSp/>
    <w:doNotBreakConstrainedForcedTable/>
    <w:doNotVertAlignInTxbx/>
    <w:useAnsiKerningPairs/>
    <w:cachedColBalance/>
  </w:compat>
  <w:rsids>
    <w:rsidRoot w:val="683D873B"/>
    <w:rsid w:val="3B97B11A"/>
    <w:rsid w:val="43F9F2F8"/>
    <w:rsid w:val="5BFDE2E7"/>
    <w:rsid w:val="65CF00A5"/>
    <w:rsid w:val="683D873B"/>
    <w:rsid w:val="73EFAD3F"/>
    <w:rsid w:val="775F5BE4"/>
    <w:rsid w:val="7AFF9006"/>
    <w:rsid w:val="7E226BE4"/>
    <w:rsid w:val="7F63A6D7"/>
    <w:rsid w:val="7FDF123B"/>
    <w:rsid w:val="7FF3F974"/>
    <w:rsid w:val="94C56B5E"/>
    <w:rsid w:val="BFED8954"/>
    <w:rsid w:val="BFFFDF8D"/>
    <w:rsid w:val="C7FF1591"/>
    <w:rsid w:val="E35F0E8F"/>
    <w:rsid w:val="EE5D750E"/>
    <w:rsid w:val="EEEDF91B"/>
    <w:rsid w:val="FFFB0DA6"/>
  </w:rsids>
  <w:uiCompat97To2003/>
  <w:shapeDefaults>
    <o:shapedefaults fillcolor="#9CBEE0" fill="t" stroke="t">
      <v:fill type="gradient" on="t" color2="#BBD5F0" focus="0%" focussize="0f,0f" focusposition="0f,0f">
        <o:fill type="gradientUnscaled" v:ext="backwardCompatible"/>
      </v:fill>
      <v:stroke weight="1.25pt" color="#739CC3" color2="#FFFFFF" miterlimit="2"/>
    </o:shapedefaults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  <w:lang w:val="en-US" w:eastAsia="zh-CN" w:bidi="ar-SA"/>
      </w:rPr>
    </w:rPrDefault>
  </w:docDefaults>
  <w:latentStyles w:count="260" w:defQFormat="0" w:defUnhideWhenUsed="1" w:defSemiHidden="1" w:defUIPriority="99" w:defLockedState="0">
    <w:lsdException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uiPriority="0" w:name="header"/>
    <w:lsdException w:uiPriority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uiPriority="0" w:semiHidden="0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iPriority="99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uiPriority w:val="0"/>
    <w:pPr>
      <w:widowControl w:val="0"/>
      <w:jc w:val="both"/>
    </w:pPr>
    <w:rPr>
      <w:rFonts w:eastAsia="宋体"/>
      <w:kern w:val="2"/>
      <w:sz w:val="21"/>
      <w:lang w:val="en-US" w:eastAsia="zh-CN"/>
    </w:rPr>
  </w:style>
  <w:style w:type="character" w:default="1" w:styleId="2">
    <w:name w:val="Default Paragraph Font"/>
    <w:unhideWhenUsed/>
    <w:uiPriority w:val="0"/>
  </w:style>
  <w:style w:type="table" w:default="1" w:styleId="3">
    <w:name w:val="Normal Table"/>
    <w:unhideWhenUsed/>
    <w:uiPriority w:val="99"/>
    <w:tblPr>
      <w:tblStyle w:val="3"/>
      <w:tblLayout w:type="fixed"/>
      <w:tblCellMar>
        <w:top w:w="0" w:type="dxa"/>
        <w:left w:w="108" w:type="dxa"/>
        <w:bottom w:w="0" w:type="dxa"/>
        <w:right w:w="108" w:type="dxa"/>
      </w:tblCellMar>
    </w:tblPr>
    <w:tcPr>
      <w:textDirection w:val="lrTb"/>
    </w:tcPr>
  </w:style>
  <w:style w:type="table" w:styleId="4">
    <w:name w:val="Table Grid"/>
    <w:basedOn w:val="3"/>
    <w:unhideWhenUsed/>
    <w:uiPriority w:val="99"/>
    <w:pPr/>
    <w:rPr>
      <w:rFonts w:ascii="Times New Roman" w:hAnsi="Times New Roman" w:eastAsia="宋体" w:cs="Times New Roman"/>
      <w:kern w:val="0"/>
      <w:sz w:val="20"/>
      <w:szCs w:val="20"/>
    </w:rPr>
    <w:tblPr>
      <w:tblStyle w:val="3"/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Layout w:type="fixed"/>
    </w:tblPr>
    <w:tcPr>
      <w:textDirection w:val="lrTb"/>
    </w:tcPr>
  </w:style>
  <w:style w:type="paragraph" w:customStyle="1" w:styleId="5">
    <w:name w:val="2级副标题"/>
    <w:qFormat/>
    <w:uiPriority w:val="0"/>
    <w:rPr>
      <w:sz w:val="24"/>
    </w:r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numbering" Target="numbering.xml"/><Relationship Id="rId5" Type="http://schemas.openxmlformats.org/officeDocument/2006/relationships/customXml" Target="../customXml/item1.xml"/><Relationship Id="rId4" Type="http://schemas.openxmlformats.org/officeDocument/2006/relationships/theme" Target="theme/theme1.xml"/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Arab" typeface="Times New Roman"/>
        <a:font script="Beng" typeface="Vrinda"/>
        <a:font script="Cans" typeface="Euphemia"/>
        <a:font script="Cher" typeface="Plantagenet Cherokee"/>
        <a:font script="Deva" typeface="Mangal"/>
        <a:font script="Ethi" typeface="Nyala"/>
        <a:font script="Geor" typeface="Sylfaen"/>
        <a:font script="Gujr" typeface="Shruti"/>
        <a:font script="Guru" typeface="Raavi"/>
        <a:font script="Hang" typeface="맑은 고딕"/>
        <a:font script="Hans" typeface="宋体"/>
        <a:font script="Hant" typeface="新細明體"/>
        <a:font script="Hebr" typeface="Times New Roman"/>
        <a:font script="Jpan" typeface="ＭＳ Ｐゴシック"/>
        <a:font script="Khmr" typeface="MoolBoran"/>
        <a:font script="Knda" typeface="Tunga"/>
        <a:font script="Laoo" typeface="DokChampa"/>
        <a:font script="Mlym" typeface="Kartika"/>
        <a:font script="Mong" typeface="Mongolian Baiti"/>
        <a:font script="Orya" typeface="Kalinga"/>
        <a:font script="Sinh" typeface="Iskoola Pota"/>
        <a:font script="Syrc" typeface="Estrangelo Edessa"/>
        <a:font script="Taml" typeface="Latha"/>
        <a:font script="Telu" typeface="Gautami"/>
        <a:font script="Thaa" typeface="MV Boli"/>
        <a:font script="Thai" typeface="Tahoma"/>
        <a:font script="Tibt" typeface="Microsoft Himalaya"/>
        <a:font script="Uigh" typeface="Microsoft Uighur"/>
        <a:font script="Viet" typeface="Times New Roman"/>
        <a:font script="Yiii" typeface="Microsoft Yi Baiti"/>
      </a:majorFont>
      <a:minorFont>
        <a:latin typeface="Calibri"/>
        <a:ea typeface=""/>
        <a:cs typeface=""/>
        <a:font script="Arab" typeface="Arial"/>
        <a:font script="Beng" typeface="Vrinda"/>
        <a:font script="Cans" typeface="Euphemia"/>
        <a:font script="Cher" typeface="Plantagenet Cherokee"/>
        <a:font script="Deva" typeface="Mangal"/>
        <a:font script="Ethi" typeface="Nyala"/>
        <a:font script="Geor" typeface="Sylfaen"/>
        <a:font script="Gujr" typeface="Shruti"/>
        <a:font script="Guru" typeface="Raavi"/>
        <a:font script="Hang" typeface="맑은 고딕"/>
        <a:font script="Hans" typeface="宋体"/>
        <a:font script="Hant" typeface="新細明體"/>
        <a:font script="Hebr" typeface="Arial"/>
        <a:font script="Jpan" typeface="ＭＳ Ｐゴシック"/>
        <a:font script="Khmr" typeface="DaunPenh"/>
        <a:font script="Knda" typeface="Tunga"/>
        <a:font script="Laoo" typeface="DokChampa"/>
        <a:font script="Mlym" typeface="Kartika"/>
        <a:font script="Mong" typeface="Mongolian Baiti"/>
        <a:font script="Orya" typeface="Kalinga"/>
        <a:font script="Sinh" typeface="Iskoola Pota"/>
        <a:font script="Syrc" typeface="Estrangelo Edessa"/>
        <a:font script="Taml" typeface="Latha"/>
        <a:font script="Telu" typeface="Gautami"/>
        <a:font script="Thaa" typeface="MV Boli"/>
        <a:font script="Thai" typeface="Tahoma"/>
        <a:font script="Tibt" typeface="Microsoft Himalaya"/>
        <a:font script="Uigh" typeface="Microsoft Uighur"/>
        <a:font script="Viet" typeface="Arial"/>
        <a:font script="Yiii" typeface="Microsoft Yi Baiti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Normal.wpt</Template>
  <Pages>1</Pages>
  <Words>0</Words>
  <Characters>0</Characters>
  <Lines>1</Lines>
  <Paragraphs>1</Paragraphs>
  <ScaleCrop>false</ScaleCrop>
  <LinksUpToDate>false</LinksUpToDate>
  <CharactersWithSpaces>0</CharactersWithSpaces>
  <Application>WPS Office_9.1.0.4327_{F1E327BC-269C-435d-A152-05C5408002CA}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2016-02-29T22:45:00Z</dcterms:created>
  <dc:creator>song</dc:creator>
  <cp:lastModifiedBy>song</cp:lastModifiedBy>
  <dc:title>查看大盘指数</dc:title>
  <cp:revision>2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2052-9.1.0.4327</vt:lpwstr>
  </property>
</Properties>
</file>