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DejaVu Sans" w:hAnsi="DejaVu Sans"/>
          <w:b/>
          <w:sz w:val="14"/>
          <w:szCs w:val="14"/>
          <w:u w:val="single"/>
        </w:rPr>
        <w:t xml:space="preserve">PEDAGOGICKÁ PSYCHOLOGIE: </w:t>
      </w:r>
      <w:r>
        <w:rPr>
          <w:rFonts w:ascii="DejaVu Sans" w:hAnsi="DejaVu Sans"/>
          <w:b/>
          <w:sz w:val="14"/>
          <w:szCs w:val="14"/>
          <w:u w:val="none"/>
        </w:rPr>
        <w:t>1</w:t>
      </w:r>
      <w:r>
        <w:rPr>
          <w:rFonts w:ascii="DejaVu Sans" w:hAnsi="DejaVu Sans"/>
          <w:b/>
          <w:bCs/>
          <w:sz w:val="14"/>
          <w:szCs w:val="14"/>
          <w:u w:val="none"/>
        </w:rPr>
        <w:t>) pedagogická psychologie</w:t>
      </w:r>
      <w:r>
        <w:rPr>
          <w:rFonts w:ascii="DejaVu Sans" w:hAnsi="DejaVu Sans"/>
          <w:sz w:val="14"/>
          <w:szCs w:val="14"/>
          <w:u w:val="none"/>
        </w:rPr>
        <w:t xml:space="preserve"> – vychází z obecné, sociální a vývojové psychologie; aplikována psychologická disciplína; zabývá se otázkami výchovně-vzdělávací praxe; specializuje se na chování, prožívaní a formování lidské osobnosti v procesu vyučování a výchovy; metody účinného učení, poradenství pro žák; zabývá se vyučováním a výchovou a to ve školách, ale i v rodinách a v mimoškolských zařízeních; zajímá se o žáky, učitele, rodiče žáků, vychovatele ve vzájemném působení; má blízko ke školní a poradenské psychologii, což jsou obory, které řeší specifické a aktuální problémy v praxi; </w:t>
      </w:r>
      <w:r>
        <w:rPr>
          <w:rFonts w:ascii="DejaVu Sans" w:hAnsi="DejaVu Sans"/>
          <w:b/>
          <w:bCs/>
          <w:sz w:val="14"/>
          <w:szCs w:val="14"/>
          <w:u w:val="none"/>
        </w:rPr>
        <w:t xml:space="preserve">2) výchova </w:t>
      </w:r>
      <w:r>
        <w:rPr>
          <w:rFonts w:ascii="DejaVu Sans" w:hAnsi="DejaVu Sans"/>
          <w:sz w:val="14"/>
          <w:szCs w:val="14"/>
          <w:u w:val="none"/>
        </w:rPr>
        <w:t xml:space="preserve">– „široce založený komplexní společenský proces v oblasti školy i mimo ni. Cílem je rozvinutá harmonická osobnost. Správná výchova akceptuje individualitu, uspokojuje potřeby, vede k harmonii a všestrannosti, je přiměřeně autoritativní, cílevědomá, jednotná a vede k sebevýchově“ Jan Hartl – psychologický velký slovník 2010; </w:t>
      </w:r>
      <w:r>
        <w:rPr>
          <w:rFonts w:ascii="DejaVu Sans" w:hAnsi="DejaVu Sans"/>
          <w:b/>
          <w:bCs/>
          <w:sz w:val="14"/>
          <w:szCs w:val="14"/>
          <w:u w:val="none"/>
        </w:rPr>
        <w:t>3) vyučování, vzdělávání</w:t>
      </w:r>
      <w:r>
        <w:rPr>
          <w:rFonts w:ascii="DejaVu Sans" w:hAnsi="DejaVu Sans"/>
          <w:sz w:val="14"/>
          <w:szCs w:val="14"/>
          <w:u w:val="none"/>
        </w:rPr>
        <w:t xml:space="preserve"> – vyučování je proces předávání a získávání vědomostí, dovedností a postojů na němž se spolupodílejí učitel, žák, učivo a prostředí; vzdělávání je učením zprostředkované přejímání dosavadních zkušeností lidstva, souhrn vědomostí, dovedností, postojů v proběhu životě člověka, formálně tím označujeme dosažený stupeň v oboru ; </w:t>
      </w:r>
      <w:r>
        <w:rPr>
          <w:rFonts w:ascii="DejaVu Sans" w:hAnsi="DejaVu Sans"/>
          <w:b/>
          <w:bCs/>
          <w:sz w:val="14"/>
          <w:szCs w:val="14"/>
          <w:u w:val="none"/>
        </w:rPr>
        <w:t>4) učení</w:t>
      </w:r>
      <w:r>
        <w:rPr>
          <w:rFonts w:ascii="DejaVu Sans" w:hAnsi="DejaVu Sans"/>
          <w:sz w:val="14"/>
          <w:szCs w:val="14"/>
          <w:u w:val="none"/>
        </w:rPr>
        <w:t xml:space="preserve"> – získávání zkušenosti jedince v průběhu života; výsledkem lidského učení může být osvojení vědomostí, dovedností, návyků a postojů, ale také změna psychických procesů, stavů a vlastností; důležitým předpokladem učení je naše paměť, úroveň našich rozumových schopností, emoční inteligence, motivace, vůle, pozornost; </w:t>
      </w:r>
      <w:r>
        <w:rPr>
          <w:rFonts w:ascii="DejaVu Sans" w:hAnsi="DejaVu Sans"/>
          <w:b/>
          <w:bCs/>
          <w:sz w:val="14"/>
          <w:szCs w:val="14"/>
          <w:u w:val="none"/>
        </w:rPr>
        <w:t xml:space="preserve">5) druhy učení </w:t>
      </w:r>
      <w:r>
        <w:rPr>
          <w:rFonts w:ascii="DejaVu Sans" w:hAnsi="DejaVu Sans"/>
          <w:sz w:val="14"/>
          <w:szCs w:val="14"/>
          <w:u w:val="none"/>
        </w:rPr>
        <w:t xml:space="preserve">– </w:t>
      </w:r>
      <w:r>
        <w:rPr>
          <w:rFonts w:cs="Calibri" w:ascii="DejaVu Sans" w:hAnsi="DejaVu Sans"/>
          <w:sz w:val="14"/>
          <w:szCs w:val="14"/>
          <w:u w:val="none"/>
        </w:rPr>
        <w:t xml:space="preserve">v rámci učení bývá rozlišováno několik způsobů učení se: </w:t>
      </w:r>
      <w:r>
        <w:rPr>
          <w:rFonts w:eastAsia="Times New Roman" w:cs="Calibri" w:ascii="DejaVu Sans" w:hAnsi="DejaVu Sans"/>
          <w:sz w:val="14"/>
          <w:szCs w:val="14"/>
          <w:u w:val="none"/>
          <w:lang w:eastAsia="cs-CZ"/>
        </w:rPr>
        <w:t xml:space="preserve">podmiňování- nejjednodušší forma učení běžná u zvířat, dětí a v určité míře i u dospělých; pojmové učení- učení poznatkům - osvojování znalostí; senzomotorické učení (smyslově pohybové) - rozvíjí se senzomotorické schopnosti a procesy názorného poznávání (dítě se učí chodit, manipulovat s hračkami, apod.); učení intelektových činností - rozvíjí se myšlenkové procesy, intelektové dovednosti a schopnosti k řešení složitých problémů; sociální učení - učení sociální komunikaci, interakci a percepci, osvojují se sociální dovednosti, formují motivy a charakter. Ve stručnosti lze definovat jako: "učení žít mezi lidmi"; záměrné učení-chceme se něco naučit a máme přesně určený cíl; </w:t>
      </w:r>
      <w:r>
        <w:rPr>
          <w:rFonts w:ascii="DejaVu Sans" w:hAnsi="DejaVu Sans"/>
          <w:b/>
          <w:bCs/>
          <w:sz w:val="14"/>
          <w:szCs w:val="14"/>
          <w:u w:val="none"/>
        </w:rPr>
        <w:t xml:space="preserve">6) styly učení žáků </w:t>
      </w:r>
      <w:r>
        <w:rPr>
          <w:rFonts w:ascii="DejaVu Sans" w:hAnsi="DejaVu Sans"/>
          <w:sz w:val="14"/>
          <w:szCs w:val="14"/>
          <w:u w:val="none"/>
        </w:rPr>
        <w:t xml:space="preserve">– </w:t>
      </w:r>
      <w:r>
        <w:rPr>
          <w:rFonts w:cs="Calibri" w:ascii="DejaVu Sans" w:hAnsi="DejaVu Sans"/>
          <w:sz w:val="14"/>
          <w:szCs w:val="14"/>
          <w:u w:val="none"/>
        </w:rPr>
        <w:t xml:space="preserve">učební styl je způsob, jak člověk vstřebává a zpracovává nové informace a jak si je pamatuje. Každý z nás má svůj jedinečný učební styl, který během studia upřednostňuje; </w:t>
      </w:r>
      <w:r>
        <w:rPr>
          <w:rFonts w:ascii="DejaVu Sans" w:hAnsi="DejaVu Sans"/>
          <w:b/>
          <w:bCs/>
          <w:sz w:val="14"/>
          <w:szCs w:val="14"/>
          <w:u w:val="none"/>
        </w:rPr>
        <w:t xml:space="preserve">7) smysluplné učení </w:t>
      </w:r>
      <w:r>
        <w:rPr>
          <w:rFonts w:ascii="DejaVu Sans" w:hAnsi="DejaVu Sans"/>
          <w:sz w:val="14"/>
          <w:szCs w:val="14"/>
          <w:u w:val="none"/>
        </w:rPr>
        <w:t xml:space="preserve">– prožitkové a osobně důležité učení; protiklad mechanického učení, na učení se podílí jak poznávací, citová složka; iniciativa začne vycházet od učícího, protože získává postoj, že toto učení má pro něj cenu; </w:t>
      </w:r>
      <w:r>
        <w:rPr>
          <w:rFonts w:ascii="DejaVu Sans" w:hAnsi="DejaVu Sans"/>
          <w:b/>
          <w:bCs/>
          <w:sz w:val="14"/>
          <w:szCs w:val="14"/>
          <w:u w:val="none"/>
        </w:rPr>
        <w:t>8) osobnost pedagoga</w:t>
      </w:r>
      <w:r>
        <w:rPr>
          <w:rFonts w:ascii="DejaVu Sans" w:hAnsi="DejaVu Sans"/>
          <w:sz w:val="14"/>
          <w:szCs w:val="14"/>
          <w:u w:val="none"/>
        </w:rPr>
        <w:t xml:space="preserve"> – </w:t>
      </w:r>
      <w:r>
        <w:rPr>
          <w:rFonts w:ascii="DejaVu Sans" w:hAnsi="DejaVu Sans"/>
          <w:b/>
          <w:sz w:val="14"/>
          <w:szCs w:val="14"/>
          <w:u w:val="none"/>
        </w:rPr>
        <w:t>klady:</w:t>
      </w:r>
      <w:r>
        <w:rPr>
          <w:rFonts w:ascii="DejaVu Sans" w:hAnsi="DejaVu Sans"/>
          <w:sz w:val="14"/>
          <w:szCs w:val="14"/>
          <w:u w:val="none"/>
        </w:rPr>
        <w:t xml:space="preserve"> spravedlivý, pozitivní, umí svůj obor ví, co dělá, komunikativní, aj.</w:t>
      </w:r>
      <w:r>
        <w:rPr>
          <w:rFonts w:ascii="DejaVu Sans" w:hAnsi="DejaVu Sans"/>
          <w:b/>
          <w:sz w:val="14"/>
          <w:szCs w:val="14"/>
          <w:u w:val="none"/>
        </w:rPr>
        <w:t xml:space="preserve"> ; </w:t>
      </w:r>
      <w:r>
        <w:rPr>
          <w:rFonts w:ascii="DejaVu Sans" w:hAnsi="DejaVu Sans"/>
          <w:b/>
          <w:sz w:val="14"/>
          <w:szCs w:val="14"/>
          <w:u w:val="none"/>
        </w:rPr>
        <w:t>zápory:</w:t>
      </w:r>
      <w:r>
        <w:rPr>
          <w:rFonts w:ascii="DejaVu Sans" w:hAnsi="DejaVu Sans"/>
          <w:sz w:val="14"/>
          <w:szCs w:val="14"/>
          <w:u w:val="none"/>
        </w:rPr>
        <w:t xml:space="preserve"> negativní, neumí vysvětlit látku, mluví monotónně, aj.; emočně stabilní, se zdravou sebedůvěrou, sám sebe ocenit, přiměřený stupeň dominance, rozhodnost, komunikační dovednosti, didaktické schopnosti, umět se přizpůsobit změně (flexibilita); </w:t>
      </w:r>
      <w:r>
        <w:rPr>
          <w:rFonts w:ascii="DejaVu Sans" w:hAnsi="DejaVu Sans"/>
          <w:b/>
          <w:bCs/>
          <w:sz w:val="14"/>
          <w:szCs w:val="14"/>
          <w:u w:val="none"/>
        </w:rPr>
        <w:t>9) pedagogický takt</w:t>
      </w:r>
      <w:r>
        <w:rPr>
          <w:rFonts w:ascii="DejaVu Sans" w:hAnsi="DejaVu Sans"/>
          <w:sz w:val="14"/>
          <w:szCs w:val="14"/>
          <w:u w:val="none"/>
        </w:rPr>
        <w:t xml:space="preserve"> – cit pro pedagogiku, složitá sociální dovednost, správné citové a pohotové vedení žáků, které přispívá k rozvojové úspěšnosti žáka, projevuje se zejména empatii (vcítit se do psychiky dítěte), chápat jeho potřeby, zájmy, motivy, pocity, aj., a na základě této empatie pohotově rozhodovat a reagovat; </w:t>
      </w:r>
      <w:r>
        <w:rPr>
          <w:rFonts w:ascii="DejaVu Sans" w:hAnsi="DejaVu Sans"/>
          <w:b/>
          <w:bCs/>
          <w:sz w:val="14"/>
          <w:szCs w:val="14"/>
          <w:u w:val="none"/>
        </w:rPr>
        <w:t xml:space="preserve">10) autoevaluace </w:t>
      </w:r>
      <w:r>
        <w:rPr>
          <w:rFonts w:ascii="DejaVu Sans" w:hAnsi="DejaVu Sans"/>
          <w:sz w:val="14"/>
          <w:szCs w:val="14"/>
          <w:u w:val="none"/>
        </w:rPr>
        <w:t xml:space="preserve">– sebehodnocení, sebereflexe své pedagogické činnosti/práce; </w:t>
      </w:r>
      <w:r>
        <w:rPr>
          <w:rFonts w:ascii="DejaVu Sans" w:hAnsi="DejaVu Sans"/>
          <w:b/>
          <w:bCs/>
          <w:sz w:val="14"/>
          <w:szCs w:val="14"/>
          <w:u w:val="none"/>
        </w:rPr>
        <w:t>11) formy zkoušení žáků</w:t>
      </w:r>
      <w:r>
        <w:rPr>
          <w:rFonts w:ascii="DejaVu Sans" w:hAnsi="DejaVu Sans"/>
          <w:sz w:val="14"/>
          <w:szCs w:val="14"/>
          <w:u w:val="none"/>
        </w:rPr>
        <w:t xml:space="preserve"> - ústní zkoušku, písemnou zkoušku, didaktický test, výkonovou, praktickou zkoušku, hodnocení výsledků činnosti, pozorování, rozhovor, dotazník; </w:t>
      </w:r>
      <w:r>
        <w:rPr>
          <w:rFonts w:ascii="DejaVu Sans" w:hAnsi="DejaVu Sans"/>
          <w:b/>
          <w:bCs/>
          <w:sz w:val="14"/>
          <w:szCs w:val="14"/>
          <w:u w:val="none"/>
        </w:rPr>
        <w:t xml:space="preserve">12) zásady při hodnocení žáků </w:t>
      </w:r>
      <w:r>
        <w:rPr>
          <w:rFonts w:ascii="DejaVu Sans" w:hAnsi="DejaVu Sans"/>
          <w:sz w:val="14"/>
          <w:szCs w:val="14"/>
          <w:u w:val="none"/>
        </w:rPr>
        <w:t xml:space="preserve">– Cílem a základem každého hodnocení je poskytnout žákovi zpětnou vazbu, tj. co se naučil, zvládnul, v čem se zlepšil, v čem chybuje a jak postupovat dále. Hodnocení by mělo vést k pozitivnímu vyjádření a mělo by být pro žáky motivující.; </w:t>
      </w:r>
      <w:r>
        <w:rPr>
          <w:rFonts w:ascii="DejaVu Sans" w:hAnsi="DejaVu Sans"/>
          <w:b/>
          <w:bCs/>
          <w:sz w:val="14"/>
          <w:szCs w:val="14"/>
          <w:u w:val="none"/>
        </w:rPr>
        <w:t xml:space="preserve">13) vyučovací metody </w:t>
      </w:r>
      <w:r>
        <w:rPr>
          <w:rFonts w:ascii="DejaVu Sans" w:hAnsi="DejaVu Sans"/>
          <w:sz w:val="14"/>
          <w:szCs w:val="14"/>
          <w:u w:val="none"/>
        </w:rPr>
        <w:t>– je</w:t>
      </w:r>
      <w:r>
        <w:rPr>
          <w:rFonts w:cs="Calibri" w:ascii="DejaVu Sans" w:hAnsi="DejaVu Sans"/>
          <w:sz w:val="14"/>
          <w:szCs w:val="14"/>
          <w:u w:val="none"/>
        </w:rPr>
        <w:t xml:space="preserve"> prostředek, který využívá učitel v procesu výuky k dosahování výukových cílů. Jedná se o jeden z prvků vyučovacího procesu a vychází z didaktického trojúhelníku: učitel – žák – obsah výuky.; </w:t>
      </w:r>
      <w:r>
        <w:rPr>
          <w:rFonts w:ascii="DejaVu Sans" w:hAnsi="DejaVu Sans"/>
          <w:b/>
          <w:bCs/>
          <w:sz w:val="14"/>
          <w:szCs w:val="14"/>
          <w:u w:val="none"/>
        </w:rPr>
        <w:t>14) organizační formy pedagogické práce s žáky</w:t>
      </w:r>
      <w:r>
        <w:rPr>
          <w:rFonts w:ascii="DejaVu Sans" w:hAnsi="DejaVu Sans"/>
          <w:sz w:val="14"/>
          <w:szCs w:val="14"/>
          <w:u w:val="none"/>
        </w:rPr>
        <w:t xml:space="preserve"> - Individuální výuka, Hromadná (frontální) výuka, Individualizovaná výuka, Projektová výuka, Diferenciovaná výuka, Skupinová a kooperativní výuka, Týmová výuka, Otevřené vyučování; </w:t>
      </w:r>
      <w:r>
        <w:rPr>
          <w:rFonts w:ascii="DejaVu Sans" w:hAnsi="DejaVu Sans"/>
          <w:b/>
          <w:bCs/>
          <w:sz w:val="14"/>
          <w:szCs w:val="14"/>
          <w:u w:val="none"/>
        </w:rPr>
        <w:t xml:space="preserve">15) školní úspěšnost </w:t>
      </w:r>
      <w:r>
        <w:rPr>
          <w:rFonts w:ascii="DejaVu Sans" w:hAnsi="DejaVu Sans"/>
          <w:sz w:val="14"/>
          <w:szCs w:val="14"/>
          <w:u w:val="none"/>
        </w:rPr>
        <w:t xml:space="preserve">– studentovy osobní předpoklady, motivace učení, osobnost učitele, proces výuky vědomostem a dovednostem, charakter prostředí, aktuální stav; </w:t>
      </w:r>
      <w:r>
        <w:rPr>
          <w:rFonts w:ascii="DejaVu Sans" w:hAnsi="DejaVu Sans"/>
          <w:b/>
          <w:bCs/>
          <w:sz w:val="14"/>
          <w:szCs w:val="14"/>
          <w:u w:val="none"/>
        </w:rPr>
        <w:t xml:space="preserve">16) poruchy učení </w:t>
      </w:r>
      <w:r>
        <w:rPr>
          <w:rFonts w:ascii="DejaVu Sans" w:hAnsi="DejaVu Sans"/>
          <w:sz w:val="14"/>
          <w:szCs w:val="14"/>
          <w:u w:val="none"/>
        </w:rPr>
        <w:t xml:space="preserve">–  jsou poruchy způsobující problémy v rámci vzdělávacího procesu, kdy postižení projevují nedostatečně rozvinuté schopnosti, což jim způsobuje výukové obtíže; </w:t>
      </w:r>
      <w:r>
        <w:rPr>
          <w:rFonts w:ascii="DejaVu Sans" w:hAnsi="DejaVu Sans"/>
          <w:b/>
          <w:bCs/>
          <w:sz w:val="14"/>
          <w:szCs w:val="14"/>
          <w:u w:val="none"/>
        </w:rPr>
        <w:t xml:space="preserve">17) problémové chování </w:t>
      </w:r>
      <w:r>
        <w:rPr>
          <w:rFonts w:ascii="DejaVu Sans" w:hAnsi="DejaVu Sans"/>
          <w:sz w:val="14"/>
          <w:szCs w:val="14"/>
          <w:u w:val="none"/>
        </w:rPr>
        <w:t>- Specifické poruchy chování u dětí i dospělých jsou charakterizovány opakovaným a přetrvávajícím agresivním‚ asociálním nebo vzdorovitým chováním. Takové chování by mělo výrazně překročit běžné sociální chování odpovídající danému věku‚ mělo by být proto mnohem závažnější než běžné dětské zlobení nebo rebelantství dospívajících a mělo by mít trvalejší ráz (šest měsíců nebo déle). Např. Specifické</w:t>
      </w:r>
      <w:r>
        <w:fldChar w:fldCharType="begin"/>
      </w:r>
      <w:r>
        <w:rPr>
          <w:rStyle w:val="Silnzdraznn"/>
          <w:sz w:val="14"/>
          <w:u w:val="none"/>
          <w:szCs w:val="14"/>
          <w:rFonts w:ascii="DejaVu Sans" w:hAnsi="DejaVu Sans"/>
        </w:rPr>
        <w:instrText> HYPERLINK "https://www.babyonline.cz/vyvoj-ditete/specificke-poruchy-chovani-a-hyperkineticke-poruchy" \l "chovani1"</w:instrText>
      </w:r>
      <w:r>
        <w:rPr>
          <w:rStyle w:val="Silnzdraznn"/>
          <w:sz w:val="14"/>
          <w:u w:val="none"/>
          <w:szCs w:val="14"/>
          <w:rFonts w:ascii="DejaVu Sans" w:hAnsi="DejaVu Sans"/>
        </w:rPr>
        <w:fldChar w:fldCharType="separate"/>
      </w:r>
      <w:r>
        <w:rPr>
          <w:rStyle w:val="Silnzdraznn"/>
          <w:rFonts w:ascii="DejaVu Sans" w:hAnsi="DejaVu Sans"/>
          <w:sz w:val="14"/>
          <w:szCs w:val="14"/>
          <w:u w:val="none"/>
        </w:rPr>
        <w:t xml:space="preserve"> </w:t>
      </w:r>
      <w:r>
        <w:rPr>
          <w:rStyle w:val="Silnzdraznn"/>
          <w:sz w:val="14"/>
          <w:u w:val="none"/>
          <w:szCs w:val="14"/>
          <w:rFonts w:ascii="DejaVu Sans" w:hAnsi="DejaVu Sans"/>
        </w:rPr>
        <w:fldChar w:fldCharType="end"/>
      </w:r>
      <w:r>
        <w:rPr>
          <w:rStyle w:val="Silnzdraznn"/>
          <w:rFonts w:ascii="DejaVu Sans" w:hAnsi="DejaVu Sans"/>
          <w:b w:val="false"/>
          <w:bCs w:val="false"/>
          <w:i w:val="false"/>
          <w:iCs w:val="false"/>
          <w:color w:val="000000"/>
          <w:sz w:val="14"/>
          <w:szCs w:val="14"/>
          <w:u w:val="none"/>
        </w:rPr>
        <w:t xml:space="preserve">poruchy chování,  Hyperkinetická porucha chování, </w:t>
      </w:r>
      <w:r>
        <w:fldChar w:fldCharType="begin"/>
      </w:r>
      <w:r>
        <w:rPr>
          <w:rStyle w:val="Silnzdraznn"/>
          <w:sz w:val="14"/>
          <w:u w:val="none"/>
          <w:b w:val="false"/>
          <w:szCs w:val="14"/>
          <w:bCs w:val="false"/>
          <w:rFonts w:ascii="DejaVu Sans" w:hAnsi="DejaVu Sans"/>
        </w:rPr>
        <w:instrText> HYPERLINK "https://www.babyonline.cz/vyvoj-ditete/specificke-poruchy-chovani-a-hyperkineticke-poruchy" \l "chovani3"</w:instrText>
      </w:r>
      <w:r>
        <w:rPr>
          <w:rStyle w:val="Silnzdraznn"/>
          <w:sz w:val="14"/>
          <w:u w:val="none"/>
          <w:b w:val="false"/>
          <w:szCs w:val="14"/>
          <w:bCs w:val="false"/>
          <w:rFonts w:ascii="DejaVu Sans" w:hAnsi="DejaVu Sans"/>
        </w:rPr>
        <w:fldChar w:fldCharType="separate"/>
      </w:r>
      <w:r>
        <w:rPr>
          <w:rStyle w:val="Silnzdraznn"/>
          <w:rFonts w:ascii="DejaVu Sans" w:hAnsi="DejaVu Sans"/>
          <w:b w:val="false"/>
          <w:bCs w:val="false"/>
          <w:color w:val="000000"/>
          <w:sz w:val="14"/>
          <w:szCs w:val="14"/>
          <w:u w:val="none"/>
        </w:rPr>
        <w:t>ADHD - porucha osobnosti s hyperaktivitou</w:t>
      </w:r>
      <w:r>
        <w:rPr>
          <w:rStyle w:val="Silnzdraznn"/>
          <w:sz w:val="14"/>
          <w:u w:val="none"/>
          <w:b w:val="false"/>
          <w:szCs w:val="14"/>
          <w:bCs w:val="false"/>
          <w:rFonts w:ascii="DejaVu Sans" w:hAnsi="DejaVu Sans"/>
        </w:rPr>
        <w:fldChar w:fldCharType="end"/>
      </w:r>
      <w:r>
        <w:rPr>
          <w:rFonts w:ascii="DejaVu Sans" w:hAnsi="DejaVu Sans"/>
          <w:b w:val="false"/>
          <w:bCs w:val="false"/>
          <w:color w:val="000000"/>
          <w:sz w:val="14"/>
          <w:szCs w:val="14"/>
          <w:u w:val="none"/>
        </w:rPr>
        <w:t xml:space="preserve"> , </w:t>
      </w:r>
      <w:r>
        <w:fldChar w:fldCharType="begin"/>
      </w:r>
      <w:r>
        <w:rPr>
          <w:rStyle w:val="Silnzdraznn"/>
          <w:sz w:val="14"/>
          <w:u w:val="none"/>
          <w:b w:val="false"/>
          <w:szCs w:val="14"/>
          <w:bCs w:val="false"/>
          <w:rFonts w:ascii="DejaVu Sans" w:hAnsi="DejaVu Sans"/>
        </w:rPr>
        <w:instrText> HYPERLINK "https://www.babyonline.cz/vyvoj-ditete/specificke-poruchy-chovani-a-hyperkineticke-poruchy" \l "chovani4"</w:instrText>
      </w:r>
      <w:r>
        <w:rPr>
          <w:rStyle w:val="Silnzdraznn"/>
          <w:sz w:val="14"/>
          <w:u w:val="none"/>
          <w:b w:val="false"/>
          <w:szCs w:val="14"/>
          <w:bCs w:val="false"/>
          <w:rFonts w:ascii="DejaVu Sans" w:hAnsi="DejaVu Sans"/>
        </w:rPr>
        <w:fldChar w:fldCharType="separate"/>
      </w:r>
      <w:r>
        <w:rPr>
          <w:rStyle w:val="Silnzdraznn"/>
          <w:rFonts w:ascii="DejaVu Sans" w:hAnsi="DejaVu Sans"/>
          <w:b w:val="false"/>
          <w:bCs w:val="false"/>
          <w:color w:val="000000"/>
          <w:sz w:val="14"/>
          <w:szCs w:val="14"/>
          <w:u w:val="none"/>
        </w:rPr>
        <w:t>ADD - porucha osobnosti bez hyperaktivity</w:t>
      </w:r>
      <w:r>
        <w:rPr>
          <w:rStyle w:val="Silnzdraznn"/>
          <w:sz w:val="14"/>
          <w:u w:val="none"/>
          <w:b w:val="false"/>
          <w:szCs w:val="14"/>
          <w:bCs w:val="false"/>
          <w:rFonts w:ascii="DejaVu Sans" w:hAnsi="DejaVu Sans"/>
        </w:rPr>
        <w:fldChar w:fldCharType="end"/>
      </w:r>
      <w:r>
        <w:rPr>
          <w:rFonts w:ascii="DejaVu Sans" w:hAnsi="DejaVu Sans"/>
          <w:b w:val="false"/>
          <w:bCs w:val="false"/>
          <w:color w:val="000000"/>
          <w:sz w:val="14"/>
          <w:szCs w:val="14"/>
          <w:u w:val="none"/>
        </w:rPr>
        <w:t xml:space="preserve"> </w:t>
      </w:r>
    </w:p>
    <w:p>
      <w:pPr>
        <w:pStyle w:val="Normal"/>
        <w:jc w:val="both"/>
        <w:rPr>
          <w:rFonts w:ascii="DejaVu Sans" w:hAnsi="DejaVu Sans"/>
          <w:sz w:val="14"/>
          <w:szCs w:val="14"/>
          <w:u w:val="none"/>
        </w:rPr>
      </w:pPr>
      <w:r>
        <w:rPr>
          <w:rFonts w:ascii="DejaVu Sans" w:hAnsi="DejaVu Sans"/>
          <w:b/>
          <w:sz w:val="14"/>
          <w:szCs w:val="14"/>
          <w:u w:val="single"/>
        </w:rPr>
        <w:t xml:space="preserve">SOCIÁLNÍ INTERAKCE VE ŠKOLE: </w:t>
      </w:r>
      <w:r>
        <w:rPr>
          <w:rFonts w:ascii="DejaVu Sans" w:hAnsi="DejaVu Sans"/>
          <w:b/>
          <w:sz w:val="14"/>
          <w:szCs w:val="14"/>
          <w:u w:val="none"/>
        </w:rPr>
        <w:t>1</w:t>
      </w:r>
      <w:r>
        <w:rPr>
          <w:rFonts w:ascii="DejaVu Sans" w:hAnsi="DejaVu Sans"/>
          <w:b/>
          <w:bCs/>
          <w:sz w:val="14"/>
          <w:szCs w:val="14"/>
          <w:u w:val="none"/>
        </w:rPr>
        <w:t>)</w:t>
      </w:r>
      <w:r>
        <w:rPr>
          <w:rFonts w:ascii="DejaVu Sans" w:hAnsi="DejaVu Sans"/>
          <w:b/>
          <w:bCs/>
          <w:sz w:val="14"/>
          <w:szCs w:val="14"/>
          <w:u w:val="none"/>
        </w:rPr>
        <w:t>socializace</w:t>
      </w:r>
      <w:r>
        <w:rPr>
          <w:rFonts w:ascii="DejaVu Sans" w:hAnsi="DejaVu Sans"/>
          <w:sz w:val="14"/>
          <w:szCs w:val="14"/>
          <w:u w:val="none"/>
        </w:rPr>
        <w:t xml:space="preserve"> – začleňování jedince do společnosti;</w:t>
      </w:r>
      <w:r>
        <w:rPr>
          <w:rFonts w:ascii="DejaVu Sans" w:hAnsi="DejaVu Sans"/>
          <w:b/>
          <w:bCs/>
          <w:sz w:val="14"/>
          <w:szCs w:val="14"/>
          <w:u w:val="none"/>
        </w:rPr>
        <w:t xml:space="preserve">2) </w:t>
      </w:r>
      <w:r>
        <w:rPr>
          <w:rFonts w:ascii="DejaVu Sans" w:hAnsi="DejaVu Sans"/>
          <w:b/>
          <w:bCs/>
          <w:sz w:val="14"/>
          <w:szCs w:val="14"/>
          <w:u w:val="none"/>
        </w:rPr>
        <w:t xml:space="preserve"> sociální učení </w:t>
      </w:r>
      <w:r>
        <w:rPr>
          <w:rFonts w:ascii="DejaVu Sans" w:hAnsi="DejaVu Sans"/>
          <w:sz w:val="14"/>
          <w:szCs w:val="14"/>
          <w:u w:val="none"/>
        </w:rPr>
        <w:t xml:space="preserve">– osvojování si komplexních způsobu chování a jednání přiměřených určité sociální situace; produktem sociálního učení jsou sociální role, postoje, hodnoty a ideály; </w:t>
      </w:r>
      <w:r>
        <w:rPr>
          <w:rFonts w:ascii="DejaVu Sans" w:hAnsi="DejaVu Sans"/>
          <w:sz w:val="14"/>
          <w:szCs w:val="14"/>
          <w:u w:val="none"/>
        </w:rPr>
        <w:t>3</w:t>
      </w:r>
      <w:r>
        <w:rPr>
          <w:rFonts w:ascii="DejaVu Sans" w:hAnsi="DejaVu Sans"/>
          <w:b/>
          <w:bCs/>
          <w:sz w:val="14"/>
          <w:szCs w:val="14"/>
          <w:u w:val="none"/>
        </w:rPr>
        <w:t xml:space="preserve">) </w:t>
      </w:r>
      <w:r>
        <w:rPr>
          <w:rFonts w:ascii="DejaVu Sans" w:hAnsi="DejaVu Sans"/>
          <w:b/>
          <w:bCs/>
          <w:sz w:val="14"/>
          <w:szCs w:val="14"/>
          <w:u w:val="none"/>
        </w:rPr>
        <w:t>sociální percepce</w:t>
      </w:r>
      <w:r>
        <w:rPr>
          <w:rFonts w:ascii="DejaVu Sans" w:hAnsi="DejaVu Sans"/>
          <w:sz w:val="14"/>
          <w:szCs w:val="14"/>
          <w:u w:val="none"/>
        </w:rPr>
        <w:t xml:space="preserve"> – vnímání a poznávání druhých lidí, jde o soubor všech poznávacích procesů při poznávání druhého člověka, jeho citů, stavů, motivů, vlastností; </w:t>
      </w:r>
      <w:r>
        <w:rPr>
          <w:rFonts w:ascii="DejaVu Sans" w:hAnsi="DejaVu Sans"/>
          <w:b/>
          <w:bCs/>
          <w:sz w:val="14"/>
          <w:szCs w:val="14"/>
          <w:u w:val="none"/>
        </w:rPr>
        <w:t xml:space="preserve">4) </w:t>
      </w:r>
      <w:r>
        <w:rPr>
          <w:rFonts w:ascii="DejaVu Sans" w:hAnsi="DejaVu Sans"/>
          <w:b/>
          <w:bCs/>
          <w:sz w:val="14"/>
          <w:szCs w:val="14"/>
          <w:u w:val="none"/>
        </w:rPr>
        <w:t>sociální interakce</w:t>
      </w:r>
      <w:r>
        <w:rPr>
          <w:rFonts w:ascii="DejaVu Sans" w:hAnsi="DejaVu Sans"/>
          <w:sz w:val="14"/>
          <w:szCs w:val="14"/>
          <w:u w:val="none"/>
        </w:rPr>
        <w:t xml:space="preserve"> – jde o sociálně psychologické působení lidí, které probíhá na různých úrovních sociálních vztahů, je to proces, který je ovlivňován společnou činností, společenskými vztahy, sociální komunikací a dalšími sociálně psychologickými jevy a sám je zpětně ovlivňuje;</w:t>
      </w:r>
      <w:r>
        <w:rPr>
          <w:rFonts w:ascii="DejaVu Sans" w:hAnsi="DejaVu Sans"/>
          <w:b/>
          <w:bCs/>
          <w:sz w:val="14"/>
          <w:szCs w:val="14"/>
          <w:u w:val="none"/>
        </w:rPr>
        <w:t>5)</w:t>
      </w:r>
      <w:r>
        <w:rPr>
          <w:rFonts w:ascii="DejaVu Sans" w:hAnsi="DejaVu Sans"/>
          <w:b/>
          <w:bCs/>
          <w:sz w:val="14"/>
          <w:szCs w:val="14"/>
          <w:u w:val="none"/>
        </w:rPr>
        <w:t xml:space="preserve"> sociální komunikace</w:t>
      </w:r>
      <w:r>
        <w:rPr>
          <w:rFonts w:ascii="DejaVu Sans" w:hAnsi="DejaVu Sans"/>
          <w:sz w:val="14"/>
          <w:szCs w:val="14"/>
          <w:u w:val="none"/>
        </w:rPr>
        <w:t xml:space="preserve"> </w:t>
      </w:r>
      <w:r>
        <w:rPr>
          <w:rFonts w:cs="Calibri" w:ascii="DejaVu Sans" w:hAnsi="DejaVu Sans"/>
          <w:sz w:val="14"/>
          <w:szCs w:val="14"/>
          <w:u w:val="none"/>
        </w:rPr>
        <w:t xml:space="preserve">– může být nazváno sdělení, které chceme předat okolnímu světu a tento na to nějak reaguje, třeba jen svou přítomností. Je podmínkou a předpokladem existence jakéhokoliv lidského společenství. Slovo komunikace pochází z latinského "communicare" – sdílet, stýkat se, radit se s někým nebo z lat.; </w:t>
      </w:r>
      <w:r>
        <w:rPr>
          <w:rFonts w:cs="Calibri" w:ascii="DejaVu Sans" w:hAnsi="DejaVu Sans"/>
          <w:b/>
          <w:bCs/>
          <w:sz w:val="14"/>
          <w:szCs w:val="14"/>
          <w:u w:val="none"/>
        </w:rPr>
        <w:t xml:space="preserve">6) </w:t>
      </w:r>
      <w:r>
        <w:rPr>
          <w:rFonts w:ascii="DejaVu Sans" w:hAnsi="DejaVu Sans"/>
          <w:b/>
          <w:bCs/>
          <w:sz w:val="14"/>
          <w:szCs w:val="14"/>
          <w:u w:val="none"/>
        </w:rPr>
        <w:t>zásady efektivní komunikace, aktivní naslouchání, model sociální interakce</w:t>
      </w:r>
      <w:r>
        <w:rPr>
          <w:rFonts w:ascii="DejaVu Sans" w:hAnsi="DejaVu Sans"/>
          <w:sz w:val="14"/>
          <w:szCs w:val="14"/>
          <w:u w:val="none"/>
        </w:rPr>
        <w:t xml:space="preserve"> - </w:t>
      </w:r>
      <w:r>
        <w:rPr>
          <w:rFonts w:ascii="DejaVu Sans" w:hAnsi="DejaVu Sans"/>
          <w:b/>
          <w:bCs/>
          <w:sz w:val="14"/>
          <w:szCs w:val="14"/>
          <w:u w:val="none"/>
        </w:rPr>
        <w:t>zásady efektivní komunikace</w:t>
      </w:r>
      <w:r>
        <w:rPr>
          <w:rFonts w:ascii="DejaVu Sans" w:hAnsi="DejaVu Sans"/>
          <w:sz w:val="14"/>
          <w:szCs w:val="14"/>
          <w:u w:val="none"/>
        </w:rPr>
        <w:t xml:space="preserve"> – neverbální komunikace, verbální komunikace, komunikace činem při dialogu, prezentace, argumentace, vyjednávání, </w:t>
      </w:r>
      <w:r>
        <w:rPr>
          <w:rFonts w:ascii="DejaVu Sans" w:hAnsi="DejaVu Sans"/>
          <w:b/>
          <w:bCs/>
          <w:sz w:val="14"/>
          <w:szCs w:val="14"/>
          <w:u w:val="none"/>
        </w:rPr>
        <w:t>Aktivní naslouchání</w:t>
      </w:r>
      <w:r>
        <w:rPr>
          <w:rFonts w:ascii="DejaVu Sans" w:hAnsi="DejaVu Sans"/>
          <w:sz w:val="14"/>
          <w:szCs w:val="14"/>
          <w:u w:val="none"/>
        </w:rPr>
        <w:t xml:space="preserve"> je charakterizováno slovy jako: vcítit se, soucítit, vytušit, rozpoznat, rozumět, pochopit. Mluvčímu je poskytována zpětná vazba. </w:t>
      </w:r>
    </w:p>
    <w:p>
      <w:pPr>
        <w:pStyle w:val="Normal"/>
        <w:jc w:val="both"/>
        <w:rPr>
          <w:rFonts w:ascii="DejaVu Sans" w:hAnsi="DejaVu Sans"/>
          <w:sz w:val="14"/>
          <w:szCs w:val="14"/>
          <w:u w:val="none"/>
        </w:rPr>
      </w:pPr>
      <w:r>
        <w:rPr>
          <w:rFonts w:ascii="DejaVu Sans" w:hAnsi="DejaVu Sans"/>
          <w:b/>
          <w:bCs/>
          <w:sz w:val="14"/>
          <w:szCs w:val="14"/>
          <w:u w:val="none"/>
        </w:rPr>
        <w:t xml:space="preserve">Kruh </w:t>
      </w:r>
      <w:r>
        <w:rPr>
          <w:rFonts w:ascii="DejaVu Sans" w:hAnsi="DejaVu Sans"/>
          <w:b/>
          <w:bCs/>
          <w:sz w:val="14"/>
          <w:szCs w:val="14"/>
          <w:u w:val="none"/>
        </w:rPr>
        <w:t>komunikace</w:t>
      </w:r>
      <w:r>
        <w:rPr>
          <w:rFonts w:ascii="DejaVu Sans" w:hAnsi="DejaVu Sans"/>
          <w:b/>
          <w:bCs/>
          <w:sz w:val="14"/>
          <w:szCs w:val="14"/>
          <w:u w:val="none"/>
        </w:rPr>
        <w:t xml:space="preserve">: </w:t>
      </w:r>
      <w:r>
        <w:rPr>
          <w:rFonts w:ascii="DejaVu Sans" w:hAnsi="DejaVu Sans"/>
          <w:sz w:val="14"/>
          <w:szCs w:val="14"/>
          <w:u w:val="none"/>
        </w:rPr>
        <w:t>Moje komunikace a jednání→reakce na něj→Subjektivní dojem,pocity druhé osoby→ovlivňuje→Komunikace a jednání druhé osoby→reakce na ně je→Můj subjektivní dojem, pocit→ovlivňuje→“</w:t>
      </w:r>
      <w:r>
        <w:rPr>
          <w:rFonts w:ascii="DejaVu Sans" w:hAnsi="DejaVu Sans"/>
          <w:sz w:val="14"/>
          <w:szCs w:val="14"/>
          <w:u w:val="none"/>
        </w:rPr>
        <w:t>vrací se na začátek kruhu“</w:t>
      </w:r>
    </w:p>
    <w:p>
      <w:pPr>
        <w:pStyle w:val="Nadpis2"/>
        <w:jc w:val="both"/>
        <w:rPr>
          <w:rFonts w:ascii="DejaVu Sans" w:hAnsi="DejaVu Sans"/>
          <w:sz w:val="14"/>
          <w:szCs w:val="14"/>
          <w:u w:val="none"/>
        </w:rPr>
      </w:pPr>
      <w:r>
        <w:rPr>
          <w:rFonts w:ascii="DejaVu Sans" w:hAnsi="DejaVu Sans"/>
          <w:b/>
          <w:bCs/>
          <w:color w:val="000000"/>
          <w:sz w:val="14"/>
          <w:szCs w:val="14"/>
          <w:u w:val="none"/>
        </w:rPr>
        <w:t xml:space="preserve">Model sociální interakce </w:t>
      </w:r>
      <w:r>
        <w:rPr>
          <w:rFonts w:ascii="DejaVu Sans" w:hAnsi="DejaVu Sans"/>
          <w:b w:val="false"/>
          <w:bCs w:val="false"/>
          <w:color w:val="000000"/>
          <w:sz w:val="14"/>
          <w:szCs w:val="14"/>
          <w:u w:val="none"/>
        </w:rPr>
        <w:t xml:space="preserve">– </w:t>
      </w:r>
      <w:r>
        <w:rPr>
          <w:rFonts w:eastAsia="Lucida Sans Unicode" w:cs="Tahoma" w:ascii="DejaVu Sans" w:hAnsi="DejaVu Sans"/>
          <w:b w:val="false"/>
          <w:bCs w:val="false"/>
          <w:color w:val="000000"/>
          <w:sz w:val="14"/>
          <w:szCs w:val="14"/>
          <w:u w:val="none"/>
        </w:rPr>
        <w:t xml:space="preserve"> </w:t>
      </w:r>
      <w:r>
        <w:rPr>
          <w:rFonts w:eastAsia="Lucida Sans Unicode" w:cs="Tahoma" w:ascii="DejaVu Sans" w:hAnsi="DejaVu Sans"/>
          <w:b/>
          <w:bCs/>
          <w:color w:val="000000"/>
          <w:sz w:val="14"/>
          <w:szCs w:val="14"/>
          <w:u w:val="none"/>
        </w:rPr>
        <w:t xml:space="preserve">7) </w:t>
      </w:r>
      <w:r>
        <w:rPr>
          <w:rFonts w:ascii="DejaVu Sans" w:hAnsi="DejaVu Sans"/>
          <w:b/>
          <w:bCs/>
          <w:sz w:val="14"/>
          <w:szCs w:val="14"/>
          <w:u w:val="none"/>
        </w:rPr>
        <w:t xml:space="preserve">sociální role </w:t>
      </w:r>
      <w:r>
        <w:rPr>
          <w:rFonts w:ascii="DejaVu Sans" w:hAnsi="DejaVu Sans"/>
          <w:b w:val="false"/>
          <w:bCs w:val="false"/>
          <w:sz w:val="14"/>
          <w:szCs w:val="14"/>
          <w:u w:val="none"/>
        </w:rPr>
        <w:t>-</w:t>
      </w:r>
      <w:r>
        <w:rPr>
          <w:rFonts w:cs="Calibri" w:ascii="DejaVu Sans" w:hAnsi="DejaVu Sans"/>
          <w:b w:val="false"/>
          <w:bCs w:val="false"/>
          <w:sz w:val="14"/>
          <w:szCs w:val="14"/>
          <w:u w:val="none"/>
        </w:rPr>
        <w:t xml:space="preserve"> </w:t>
      </w:r>
      <w:r>
        <w:rPr>
          <w:rFonts w:cs="Calibri" w:ascii="DejaVu Sans" w:hAnsi="DejaVu Sans"/>
          <w:b w:val="false"/>
          <w:bCs w:val="false"/>
          <w:color w:val="222222"/>
          <w:sz w:val="14"/>
          <w:szCs w:val="14"/>
          <w:u w:val="none"/>
        </w:rPr>
        <w:t xml:space="preserve"> je očekávaný způsob chování, který se váže k určitému sociálnímu statusu. Každá osoba hraje více rolí, a to jak nezávisle (student ve škole, zákazník v obchodě, zaměstnanec v práci), tak souběžně (např. otec a manžel v rodině).; </w:t>
      </w:r>
      <w:r>
        <w:rPr>
          <w:rFonts w:ascii="DejaVu Sans" w:hAnsi="DejaVu Sans"/>
          <w:b/>
          <w:bCs/>
          <w:sz w:val="14"/>
          <w:szCs w:val="14"/>
          <w:u w:val="none"/>
        </w:rPr>
        <w:t>8) sociální skupina, školní třída, klima školy a třídy</w:t>
      </w:r>
      <w:r>
        <w:rPr>
          <w:rFonts w:ascii="DejaVu Sans" w:hAnsi="DejaVu Sans"/>
          <w:b w:val="false"/>
          <w:bCs w:val="false"/>
          <w:sz w:val="14"/>
          <w:szCs w:val="14"/>
          <w:u w:val="none"/>
        </w:rPr>
        <w:t xml:space="preserve"> – </w:t>
      </w:r>
      <w:r>
        <w:rPr>
          <w:rFonts w:cs="Calibri" w:ascii="DejaVu Sans" w:hAnsi="DejaVu Sans"/>
          <w:b w:val="false"/>
          <w:bCs w:val="false"/>
          <w:sz w:val="14"/>
          <w:szCs w:val="14"/>
          <w:u w:val="none"/>
        </w:rPr>
        <w:t>Sociální</w:t>
      </w:r>
      <w:r>
        <w:rPr>
          <w:rFonts w:cs="Calibri" w:ascii="DejaVu Sans" w:hAnsi="DejaVu Sans"/>
          <w:b w:val="false"/>
          <w:bCs w:val="false"/>
          <w:color w:val="222222"/>
          <w:sz w:val="14"/>
          <w:szCs w:val="14"/>
          <w:u w:val="none"/>
        </w:rPr>
        <w:t xml:space="preserve"> skupina je sdružení lidí (tvořené dvěma nebo více osobami), mezi nimiž se vytvořily nějaké vzájemné vztahy. Členy skupiny spojuje: vzájemná komunikace, normy, vzájemná očekávání a společně vykonávaná činnost.; Školní třída</w:t>
      </w:r>
      <w:r>
        <w:rPr>
          <w:rFonts w:cs="Arial" w:ascii="DejaVu Sans" w:hAnsi="DejaVu Sans"/>
          <w:b w:val="false"/>
          <w:bCs w:val="false"/>
          <w:color w:val="545454"/>
          <w:sz w:val="14"/>
          <w:szCs w:val="14"/>
          <w:u w:val="none"/>
        </w:rPr>
        <w:t xml:space="preserve"> </w:t>
      </w:r>
      <w:r>
        <w:rPr>
          <w:rFonts w:cs="Calibri" w:ascii="DejaVu Sans" w:hAnsi="DejaVu Sans"/>
          <w:b w:val="false"/>
          <w:bCs w:val="false"/>
          <w:sz w:val="14"/>
          <w:szCs w:val="14"/>
          <w:u w:val="none"/>
        </w:rPr>
        <w:t>označuje skupinu žáků základních a středních škol, kteří se společně učí a postupují z ročníku do ročníku.; Klima školy a třídy</w:t>
      </w:r>
    </w:p>
    <w:p>
      <w:pPr>
        <w:pStyle w:val="Normal"/>
        <w:jc w:val="both"/>
        <w:rPr>
          <w:rFonts w:ascii="DejaVu Sans" w:hAnsi="DejaVu Sans"/>
          <w:b/>
          <w:b/>
          <w:sz w:val="14"/>
          <w:szCs w:val="14"/>
          <w:u w:val="single"/>
        </w:rPr>
      </w:pPr>
      <w:r>
        <w:rPr/>
      </w:r>
    </w:p>
    <w:p>
      <w:pPr>
        <w:pStyle w:val="Normal"/>
        <w:jc w:val="both"/>
        <w:rPr/>
      </w:pPr>
      <w:r>
        <w:rPr>
          <w:rFonts w:ascii="DejaVu Sans" w:hAnsi="DejaVu Sans"/>
          <w:b/>
          <w:sz w:val="14"/>
          <w:szCs w:val="14"/>
          <w:u w:val="single"/>
        </w:rPr>
        <w:t>PSYCHOHYGIENA:</w:t>
      </w:r>
      <w:r>
        <w:rPr>
          <w:rFonts w:ascii="DejaVu Sans" w:hAnsi="DejaVu Sans"/>
          <w:b/>
          <w:sz w:val="14"/>
          <w:szCs w:val="14"/>
          <w:u w:val="none"/>
        </w:rPr>
        <w:t xml:space="preserve"> </w:t>
      </w:r>
      <w:r>
        <w:rPr>
          <w:rFonts w:ascii="DejaVu Sans" w:hAnsi="DejaVu Sans"/>
          <w:b/>
          <w:bCs/>
          <w:sz w:val="14"/>
          <w:szCs w:val="14"/>
          <w:u w:val="none"/>
        </w:rPr>
        <w:t>1)</w:t>
      </w:r>
      <w:r>
        <w:rPr>
          <w:rFonts w:ascii="DejaVu Sans" w:hAnsi="DejaVu Sans"/>
          <w:b/>
          <w:bCs/>
          <w:sz w:val="14"/>
          <w:szCs w:val="14"/>
          <w:u w:val="none"/>
        </w:rPr>
        <w:t xml:space="preserve"> psychohygiena</w:t>
      </w:r>
      <w:r>
        <w:rPr>
          <w:rFonts w:ascii="DejaVu Sans" w:hAnsi="DejaVu Sans"/>
          <w:sz w:val="14"/>
          <w:szCs w:val="14"/>
          <w:u w:val="none"/>
        </w:rPr>
        <w:t xml:space="preserve"> – duševní a mentální hygiena, představuje pravidla a rady, které slouží k udržení a prohloubení nebo znovuzískání duševního zdraví i duševní rovnováhy; </w:t>
      </w:r>
      <w:r>
        <w:rPr>
          <w:rFonts w:ascii="DejaVu Sans" w:hAnsi="DejaVu Sans"/>
          <w:b/>
          <w:bCs/>
          <w:sz w:val="14"/>
          <w:szCs w:val="14"/>
          <w:u w:val="none"/>
        </w:rPr>
        <w:t>2) psychoterapie</w:t>
      </w:r>
      <w:r>
        <w:rPr>
          <w:rFonts w:ascii="DejaVu Sans" w:hAnsi="DejaVu Sans"/>
          <w:sz w:val="14"/>
          <w:szCs w:val="14"/>
          <w:u w:val="none"/>
        </w:rPr>
        <w:t xml:space="preserve"> – léčba duševních nemocí, poruch, problémů či konfliktů pomocí mobilizace duševních a duchovních sil, nástroj k tomu jsou specifické metody a techniky; </w:t>
      </w:r>
      <w:r>
        <w:rPr>
          <w:rFonts w:ascii="DejaVu Sans" w:hAnsi="DejaVu Sans"/>
          <w:b/>
          <w:bCs/>
          <w:sz w:val="14"/>
          <w:szCs w:val="14"/>
          <w:u w:val="none"/>
        </w:rPr>
        <w:t xml:space="preserve">3) stres a jeho zvládání – stres: </w:t>
      </w:r>
      <w:r>
        <w:rPr>
          <w:rFonts w:ascii="DejaVu Sans" w:hAnsi="DejaVu Sans"/>
          <w:sz w:val="14"/>
          <w:szCs w:val="14"/>
          <w:u w:val="none"/>
        </w:rPr>
        <w:t xml:space="preserve">je funkční stav živého organismu, kde je tento organismus vystaven mimořádným podmínkám a jeho následné obranné reakce, které mají za cíl zachovat a zabránit poškozením organismu; jeho zvládání: snažit se odstranit příčinu vzniku např.: meditace, technické cvičení, fyzické cvičení; </w:t>
      </w:r>
      <w:r>
        <w:rPr>
          <w:rFonts w:ascii="DejaVu Sans" w:hAnsi="DejaVu Sans"/>
          <w:b/>
          <w:bCs/>
          <w:sz w:val="14"/>
          <w:szCs w:val="14"/>
          <w:u w:val="none"/>
        </w:rPr>
        <w:t xml:space="preserve">4) syndrom vyhoření </w:t>
      </w:r>
      <w:r>
        <w:rPr>
          <w:rFonts w:ascii="DejaVu Sans" w:hAnsi="DejaVu Sans"/>
          <w:sz w:val="14"/>
          <w:szCs w:val="14"/>
          <w:u w:val="none"/>
        </w:rPr>
        <w:t xml:space="preserve">– jedná se o psychický stav, prožitek vyčerpání; vyskytuje se u profesí obsahující práci s lidmi; </w:t>
      </w:r>
      <w:r>
        <w:rPr>
          <w:rFonts w:ascii="DejaVu Sans" w:hAnsi="DejaVu Sans"/>
          <w:b/>
          <w:bCs/>
          <w:sz w:val="14"/>
          <w:szCs w:val="14"/>
          <w:u w:val="none"/>
        </w:rPr>
        <w:t xml:space="preserve">5) duševní hygiena </w:t>
      </w:r>
      <w:r>
        <w:rPr>
          <w:rFonts w:ascii="DejaVu Sans" w:hAnsi="DejaVu Sans"/>
          <w:sz w:val="14"/>
          <w:szCs w:val="14"/>
          <w:u w:val="none"/>
        </w:rPr>
        <w:t xml:space="preserve">– </w:t>
      </w:r>
      <w:r>
        <w:rPr>
          <w:rFonts w:cs="Calibri" w:ascii="DejaVu Sans" w:hAnsi="DejaVu Sans"/>
          <w:sz w:val="14"/>
          <w:szCs w:val="14"/>
          <w:u w:val="none"/>
        </w:rPr>
        <w:t>je</w:t>
      </w:r>
      <w:r>
        <w:rPr>
          <w:rFonts w:cs="Calibri" w:ascii="DejaVu Sans" w:hAnsi="DejaVu Sans"/>
          <w:color w:val="222222"/>
          <w:sz w:val="14"/>
          <w:szCs w:val="14"/>
          <w:u w:val="none"/>
        </w:rPr>
        <w:t xml:space="preserve"> nauka o tom, jak si chránit a upevňovat </w:t>
      </w:r>
      <w:r>
        <w:rPr>
          <w:rFonts w:cs="Calibri" w:ascii="DejaVu Sans" w:hAnsi="DejaVu Sans"/>
          <w:sz w:val="14"/>
          <w:szCs w:val="14"/>
          <w:u w:val="none"/>
        </w:rPr>
        <w:t>duševní </w:t>
      </w:r>
      <w:hyperlink r:id="rId2">
        <w:r>
          <w:rPr>
            <w:rStyle w:val="Internetovodkaz"/>
            <w:rFonts w:cs="Calibri" w:ascii="DejaVu Sans" w:hAnsi="DejaVu Sans"/>
            <w:color w:val="00000A"/>
            <w:sz w:val="14"/>
            <w:szCs w:val="14"/>
            <w:u w:val="none"/>
          </w:rPr>
          <w:t>zdraví</w:t>
        </w:r>
      </w:hyperlink>
      <w:r>
        <w:rPr>
          <w:rFonts w:cs="Calibri" w:ascii="DejaVu Sans" w:hAnsi="DejaVu Sans"/>
          <w:color w:val="222222"/>
          <w:sz w:val="14"/>
          <w:szCs w:val="14"/>
          <w:u w:val="none"/>
        </w:rPr>
        <w:t> a jak zvyšovat odolnost člověka vůči nejrůznějším škodlivým vlivům (odpočinek, správná životospráva, organizace práce,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auto"/>
    <w:pitch w:val="default"/>
  </w:font>
  <w:font w:name="Arial">
    <w:charset w:val="01"/>
    <w:family w:val="swiss"/>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ahoma"/>
        <w:sz w:val="22"/>
        <w:szCs w:val="22"/>
        <w:lang w:val="cs-CZ" w:eastAsia="en-US" w:bidi="ar-SA"/>
      </w:rPr>
    </w:rPrDefault>
    <w:pPrDefault>
      <w:pPr>
        <w:spacing w:lineRule="auto" w:line="259"/>
      </w:pPr>
    </w:pPrDefault>
  </w:docDefaults>
  <w:style w:type="paragraph" w:styleId="Normal">
    <w:name w:val="Normal"/>
    <w:qFormat/>
    <w:pPr>
      <w:widowControl/>
      <w:numPr>
        <w:ilvl w:val="0"/>
        <w:numId w:val="0"/>
      </w:numPr>
      <w:kinsoku w:val="true"/>
      <w:overflowPunct w:val="true"/>
      <w:autoSpaceDE w:val="true"/>
      <w:bidi w:val="0"/>
      <w:spacing w:lineRule="auto" w:line="259" w:before="0" w:after="160"/>
    </w:pPr>
    <w:rPr>
      <w:rFonts w:ascii="Calibri" w:hAnsi="Calibri" w:eastAsia="SimSun" w:cs="Tahoma"/>
      <w:color w:val="auto"/>
      <w:sz w:val="22"/>
      <w:szCs w:val="22"/>
      <w:lang w:val="cs-CZ" w:eastAsia="en-US" w:bidi="ar-SA"/>
    </w:rPr>
  </w:style>
  <w:style w:type="paragraph" w:styleId="Nadpis2">
    <w:name w:val="Heading 2"/>
    <w:basedOn w:val="Nadpis"/>
    <w:next w:val="Tlotextu"/>
    <w:qFormat/>
    <w:pPr>
      <w:outlineLvl w:val="1"/>
    </w:pPr>
    <w:rPr>
      <w:rFonts w:ascii="Times New Roman" w:hAnsi="Times New Roman" w:eastAsia="Lucida Sans Unicode" w:cs="Tahoma"/>
      <w:b/>
      <w:bCs/>
      <w:sz w:val="36"/>
      <w:szCs w:val="36"/>
    </w:rPr>
  </w:style>
  <w:style w:type="character" w:styleId="DefaultParagraphFont">
    <w:name w:val="Default Paragraph Font"/>
    <w:qFormat/>
    <w:rPr/>
  </w:style>
  <w:style w:type="character" w:styleId="Internetovodkaz">
    <w:name w:val="Internetový odkaz"/>
    <w:basedOn w:val="DefaultParagraphFont"/>
    <w:rPr>
      <w:color w:val="0000FF"/>
      <w:u w:val="single"/>
      <w:lang w:val="zxx" w:eastAsia="zxx" w:bidi="zxx"/>
    </w:rPr>
  </w:style>
  <w:style w:type="character" w:styleId="ListLabel1">
    <w:name w:val="ListLabel 1"/>
    <w:qFormat/>
    <w:rPr>
      <w:rFonts w:cs="Calibri"/>
    </w:rPr>
  </w:style>
  <w:style w:type="character" w:styleId="ListLabel2">
    <w:name w:val="ListLabel 2"/>
    <w:qFormat/>
    <w:rPr>
      <w:rFonts w:cs="Courier New"/>
    </w:rPr>
  </w:style>
  <w:style w:type="character" w:styleId="ListLabel3">
    <w:name w:val="ListLabel 3"/>
    <w:qFormat/>
    <w:rPr>
      <w:sz w:val="20"/>
    </w:rPr>
  </w:style>
  <w:style w:type="character" w:styleId="Symbolyproslovn">
    <w:name w:val="Symboly pro číslování"/>
    <w:qFormat/>
    <w:rPr/>
  </w:style>
  <w:style w:type="character" w:styleId="Silnzdraznn">
    <w:name w:val="Silné zdůraznění"/>
    <w:qFormat/>
    <w:rPr>
      <w:b/>
      <w:bCs/>
    </w:rPr>
  </w:style>
  <w:style w:type="character" w:styleId="Odrky">
    <w:name w:val="Odrážky"/>
    <w:qFormat/>
    <w:rPr>
      <w:rFonts w:ascii="OpenSymbol" w:hAnsi="OpenSymbol" w:eastAsia="OpenSymbol" w:cs="OpenSymbol"/>
    </w:rPr>
  </w:style>
  <w:style w:type="paragraph" w:styleId="Nadpis">
    <w:name w:val="Nadpis"/>
    <w:basedOn w:val="Normal"/>
    <w:next w:val="Tlotextu"/>
    <w:qFormat/>
    <w:pPr>
      <w:keepNext w:val="true"/>
      <w:spacing w:before="240" w:after="120"/>
    </w:pPr>
    <w:rPr>
      <w:rFonts w:ascii="Arial" w:hAnsi="Arial" w:eastAsia="Microsoft YaHei" w:cs="Mangal"/>
      <w:sz w:val="28"/>
      <w:szCs w:val="28"/>
    </w:rPr>
  </w:style>
  <w:style w:type="paragraph" w:styleId="Tlotextu">
    <w:name w:val="Body Text"/>
    <w:basedOn w:val="Normal"/>
    <w:pPr>
      <w:spacing w:before="0" w:after="120"/>
    </w:pPr>
    <w:rPr/>
  </w:style>
  <w:style w:type="paragraph" w:styleId="Seznam">
    <w:name w:val="List"/>
    <w:basedOn w:val="Tlotextu"/>
    <w:pPr/>
    <w:rPr>
      <w:rFonts w:cs="Mangal"/>
    </w:rPr>
  </w:style>
  <w:style w:type="paragraph" w:styleId="Popisek">
    <w:name w:val="Caption"/>
    <w:basedOn w:val="Normal"/>
    <w:qFormat/>
    <w:pPr>
      <w:suppressLineNumbers/>
      <w:spacing w:before="120" w:after="120"/>
    </w:pPr>
    <w:rPr>
      <w:rFonts w:cs="Mangal"/>
      <w:i/>
      <w:iCs/>
      <w:sz w:val="24"/>
      <w:szCs w:val="24"/>
    </w:rPr>
  </w:style>
  <w:style w:type="paragraph" w:styleId="Rejstk">
    <w:name w:val="Rejstřík"/>
    <w:basedOn w:val="Normal"/>
    <w:qFormat/>
    <w:pPr>
      <w:suppressLineNumbers/>
    </w:pPr>
    <w:rPr>
      <w:rFonts w:cs="Mangal"/>
    </w:rPr>
  </w:style>
  <w:style w:type="paragraph" w:styleId="ListParagraph">
    <w:name w:val="List Paragraph"/>
    <w:basedOn w:val="Normal"/>
    <w:qFormat/>
    <w:pPr>
      <w:numPr>
        <w:ilvl w:val="0"/>
        <w:numId w:val="0"/>
      </w:num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wikipedia.org/wiki/Zdrav&#237;"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226</TotalTime>
  <Application>LibreOffice/6.0.2.1.0$Linux_X86_64 LibreOffice_project/00m0$Build-1</Application>
  <Pages>1</Pages>
  <Words>1178</Words>
  <Characters>7433</Characters>
  <CharactersWithSpaces>8644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2018-01-17T09:09:00Z</dcterms:created>
  <dc:creator>Danie</dc:creator>
  <dc:description/>
  <dc:language>cs-CZ</dc:language>
  <cp:lastModifiedBy/>
  <cp:lastPrinted>2018-04-03T10:12:51Z</cp:lastPrinted>
  <dcterms:modified xsi:type="dcterms:W3CDTF">2018-04-03T10:12:37Z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