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8557088ef34173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Порядке переноса выходного дня на другой рабочий день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88fb84215ce14180">
        <w:r>
          <w:rPr>
            <w:rStyle w:val="Hyperlink"/>
            <w:color w:val="11ab01"/>
          </w:rPr>
          <w:t xml:space="preserve">статьей 89</w:t>
        </w:r>
      </w:hyperlink>
      <w:r>
        <w:t xml:space="preserve"> Трудового кодекса Республики Таджикистан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Утвердить </w:t>
      </w:r>
      <w:hyperlink xmlns:r="http://schemas.openxmlformats.org/officeDocument/2006/relationships" w:history="true" r:id="R9d0ee9c280c7417e">
        <w:r>
          <w:rPr>
            <w:rStyle w:val="Hyperlink"/>
            <w:color w:val="11ab01"/>
          </w:rPr>
          <w:t xml:space="preserve">Порядок</w:t>
        </w:r>
      </w:hyperlink>
      <w:r>
        <w:t xml:space="preserve"> переноса выходного дня на другой рабочий день (прилагается). 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 Эмомали Рахмон </w:t>
      </w:r>
    </w:p>
    <w:p>
      <w:pPr>
        <w:jc w:val="center"/>
      </w:pPr>
      <w:r>
        <w:rPr>
          <w:b/>
          <w:color w:val="333399"/>
        </w:rPr>
        <w:t xml:space="preserve">г. Душанбе,</w:t>
      </w:r>
    </w:p>
    <w:p>
      <w:pPr>
        <w:jc w:val="center"/>
      </w:pPr>
      <w:r>
        <w:rPr>
          <w:b/>
          <w:color w:val="333399"/>
        </w:rPr>
        <w:t xml:space="preserve"> от 27 апреля 2021 года, №154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7423#A4P50JR4NV" TargetMode="External" Id="R88fb84215ce14180" /><Relationship Type="http://schemas.openxmlformats.org/officeDocument/2006/relationships/hyperlink" Target="vfp:///rgn=139320" TargetMode="External" Id="R9d0ee9c280c7417e" /></Relationships>
</file>