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403d1403a448a0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Перечне отраслей, производств, работ, профессий и должностей, условий предоставления и продолжительности отпуска за продолжительный стаж работы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6b3f14aef02342d9">
        <w:r>
          <w:rPr>
            <w:rStyle w:val="Hyperlink"/>
            <w:color w:val="11ab01"/>
          </w:rPr>
          <w:t xml:space="preserve">статьей 100</w:t>
        </w:r>
      </w:hyperlink>
      <w:r>
        <w:t xml:space="preserve"> Трудового кодекса Республики Таджикистан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1. Утвердить перечень отраслей, производств, работ, профессий и должностей, условий предоставления и продолжительности отпуска за продолжительный стаж работы (далее - перечень) согласно приложению.</w:t>
      </w:r>
    </w:p>
    <w:p>
      <w:pPr>
        <w:spacing w:before="140" w:after="140"/>
        <w:ind w:left="140" w:right="140"/>
        <w:jc w:val="both"/>
      </w:pPr>
      <w:r>
        <w:t xml:space="preserve">2. Работникам, занятым в одной отрасли или одной организации, имеющим продолжительный стаж работы работодателем по согласованию с представителем работников предоставляется дополнительный отпуск до 10 календарных дней.</w:t>
      </w:r>
    </w:p>
    <w:p>
      <w:pPr>
        <w:spacing w:before="140" w:after="140"/>
        <w:ind w:left="140" w:right="140"/>
        <w:jc w:val="both"/>
      </w:pPr>
      <w:r>
        <w:t xml:space="preserve">3. Предприятиям, учреждениям и организациях, независимо от организационно - правовой формы и вида деятельности, принять к руководству и исполнению данный перечень.</w:t>
      </w:r>
    </w:p>
    <w:p>
      <w:pPr>
        <w:spacing w:before="140" w:after="140"/>
        <w:ind w:left="140" w:right="140"/>
        <w:jc w:val="both"/>
      </w:pPr>
      <w:r>
        <w:t xml:space="preserve">4. Оплату средств дополнительного трудового отпуска за продолжительный стаж работы осуществлять в пределах фонда заработной платы предприятий, учреждений и организаций, независимо от организационно - правовой формы и вида деятельности.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  Эмомали Рахмон</w:t>
      </w:r>
    </w:p>
    <w:p>
      <w:pPr>
        <w:jc w:val="center"/>
      </w:pPr>
      <w:r>
        <w:rPr>
          <w:b/>
          <w:color w:val="333399"/>
        </w:rPr>
        <w:t xml:space="preserve">г.Душанбе, </w:t>
      </w:r>
    </w:p>
    <w:p>
      <w:pPr>
        <w:jc w:val="center"/>
      </w:pPr>
      <w:r>
        <w:rPr>
          <w:b/>
          <w:color w:val="333399"/>
        </w:rPr>
        <w:t xml:space="preserve">от 27 апреля 2018 года, №197</w:t>
      </w:r>
    </w:p>
    <w:p>
      <w:pPr>
        <w:spacing w:before="140" w:after="140"/>
        <w:ind w:left="140" w:right="140"/>
        <w:jc w:val="both"/>
      </w:pPr>
      <w:hyperlink xmlns:r="http://schemas.openxmlformats.org/officeDocument/2006/relationships" w:history="true" r:id="R024c6a3b5e064941">
        <w:r>
          <w:rPr>
            <w:rStyle w:val="Hyperlink"/>
            <w:color w:val="11ab01"/>
          </w:rPr>
          <w:t xml:space="preserve">*Перечень </w:t>
        </w:r>
      </w:hyperlink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7423#A4P50KXSGT" TargetMode="External" Id="R6b3f14aef02342d9" /><Relationship Type="http://schemas.openxmlformats.org/officeDocument/2006/relationships/hyperlink" Target="vfp:///ext=3063" TargetMode="External" Id="R024c6a3b5e064941" /></Relationships>
</file>