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29c12fe1b041bd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Порядке определения повышенной оплаты труда на тяжелых работах, работах с вредными и особо вредными условиями труда</w:t>
      </w:r>
    </w:p>
    <w:p>
      <w:pPr>
        <w:spacing w:before="140" w:after="140"/>
        <w:ind w:left="140" w:right="140"/>
        <w:jc w:val="both"/>
      </w:pPr>
      <w:r>
        <w:t xml:space="preserve">В соответствии со </w:t>
      </w:r>
      <w:hyperlink xmlns:r="http://schemas.openxmlformats.org/officeDocument/2006/relationships" w:history="true" r:id="R9dcd1136e9e24268">
        <w:r>
          <w:rPr>
            <w:rStyle w:val="Hyperlink"/>
            <w:color w:val="11ab01"/>
          </w:rPr>
          <w:t xml:space="preserve">статьей 148</w:t>
        </w:r>
      </w:hyperlink>
      <w:r>
        <w:t xml:space="preserve"> Трудового кодекса Республики Таджикистан Правительство Республики Таджикистан постановляет:</w:t>
      </w:r>
    </w:p>
    <w:p>
      <w:pPr>
        <w:spacing w:before="140" w:after="140"/>
        <w:ind w:left="140" w:right="140"/>
        <w:jc w:val="both"/>
      </w:pPr>
      <w:r>
        <w:t xml:space="preserve">1. Утвердить </w:t>
      </w:r>
      <w:hyperlink xmlns:r="http://schemas.openxmlformats.org/officeDocument/2006/relationships" w:history="true" r:id="Re242910629e94de8">
        <w:r>
          <w:rPr>
            <w:rStyle w:val="Hyperlink"/>
            <w:color w:val="11ab01"/>
          </w:rPr>
          <w:t xml:space="preserve">Порядок</w:t>
        </w:r>
      </w:hyperlink>
      <w:r>
        <w:t xml:space="preserve"> определения повышенной оплаты труда на тяжелых работах, работах с вредными и особо вредными условиями труда (прилагается).</w:t>
      </w:r>
    </w:p>
    <w:p>
      <w:pPr>
        <w:spacing w:before="140" w:after="140"/>
        <w:ind w:left="140" w:right="140"/>
        <w:jc w:val="both"/>
      </w:pPr>
      <w:r>
        <w:t xml:space="preserve">2. Министерствам, ведомствам, исполнительным органам государственной власти Горно-Бадахшанской автономной области, областей, города Душанбе, городов и районов республиканского подчинения, предприятиям, учреждениям и другим организациям, независимо от формы собственности и вида деятельности, обеспечить выполнение настоящего Порядка в пределах предусмотренных средств государственного бюджета, за счёт собственных средств, а также других источников, не запрещенных законодательством Республики Таджикистан. </w:t>
      </w:r>
    </w:p>
    <w:p>
      <w:pPr>
        <w:jc w:val="left"/>
      </w:pPr>
      <w:r>
        <w:rPr>
          <w:b/>
          <w:color w:val="333399"/>
        </w:rPr>
        <w:t xml:space="preserve">Председатель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 Эмомали Рахмон</w:t>
      </w:r>
    </w:p>
    <w:p>
      <w:pPr>
        <w:jc w:val="center"/>
      </w:pPr>
      <w:r>
        <w:rPr>
          <w:b/>
          <w:color w:val="333399"/>
        </w:rPr>
        <w:t xml:space="preserve">г. Душанбе, </w:t>
      </w:r>
    </w:p>
    <w:p>
      <w:pPr>
        <w:jc w:val="center"/>
      </w:pPr>
      <w:r>
        <w:rPr>
          <w:b/>
          <w:color w:val="333399"/>
        </w:rPr>
        <w:t xml:space="preserve">от 27 августа 2020 года, №458 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7423#A4P50NUGZD" TargetMode="External" Id="R9dcd1136e9e24268" /><Relationship Type="http://schemas.openxmlformats.org/officeDocument/2006/relationships/hyperlink" Target="vfp:///rgn=137160" TargetMode="External" Id="Re242910629e94de8" /></Relationships>
</file>