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c4b65de6ea464a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Об условиях, порядке и размере выплаты надбавок за работу разъездного характера и вахтовым методом</w:t>
      </w:r>
    </w:p>
    <w:p>
      <w:pPr>
        <w:spacing w:before="140" w:after="140"/>
        <w:ind w:left="140" w:right="140"/>
        <w:jc w:val="both"/>
      </w:pPr>
      <w:r>
        <w:t xml:space="preserve">В соответствии со статьями 178 и 246 </w:t>
      </w:r>
      <w:hyperlink xmlns:r="http://schemas.openxmlformats.org/officeDocument/2006/relationships" w:history="true" r:id="R0b87f9ed2cc34695">
        <w:r>
          <w:rPr>
            <w:rStyle w:val="Hyperlink"/>
            <w:color w:val="11ab01"/>
          </w:rPr>
          <w:t xml:space="preserve">Трудового кодекса</w:t>
        </w:r>
      </w:hyperlink>
      <w:r>
        <w:t xml:space="preserve"> Республики Таджикистан Правительство Республики Таджикистан постановляет:</w:t>
      </w:r>
    </w:p>
    <w:p>
      <w:pPr>
        <w:spacing w:before="140" w:after="140"/>
        <w:ind w:left="140" w:right="140"/>
        <w:jc w:val="both"/>
      </w:pPr>
      <w:r>
        <w:t xml:space="preserve">1. Утвердить условия, </w:t>
      </w:r>
      <w:hyperlink xmlns:r="http://schemas.openxmlformats.org/officeDocument/2006/relationships" w:history="true" r:id="R2a8c1a4ca10042c6">
        <w:r>
          <w:rPr>
            <w:rStyle w:val="Hyperlink"/>
            <w:color w:val="11ab01"/>
          </w:rPr>
          <w:t xml:space="preserve">порядок</w:t>
        </w:r>
      </w:hyperlink>
      <w:r>
        <w:t xml:space="preserve"> и размер выплаты надбавок за работу разъездного характера и вахтовым методом (прилагается).</w:t>
      </w:r>
    </w:p>
    <w:p>
      <w:pPr>
        <w:spacing w:before="140" w:after="140"/>
        <w:ind w:left="140" w:right="140"/>
        <w:jc w:val="both"/>
      </w:pPr>
      <w:r>
        <w:t xml:space="preserve">2. Министерствам и ведомствам, исполнительным органам государственной власти Горно-Бадахшанской автономной области, областей, города Душанбе, городов и районов республики, соответствующим предприятиям, учреждениям и другим соответствующим организациям, независимо от форм собственности, принять необходимые меры по выполнению требований настоящего постановления.</w:t>
      </w:r>
    </w:p>
    <w:p>
      <w:pPr>
        <w:jc w:val="left"/>
      </w:pPr>
      <w:r>
        <w:rPr>
          <w:b/>
          <w:color w:val="333399"/>
        </w:rPr>
        <w:t xml:space="preserve">Председатель 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 Эмомали Рахмон</w:t>
      </w:r>
    </w:p>
    <w:p>
      <w:pPr>
        <w:jc w:val="center"/>
      </w:pPr>
      <w:r>
        <w:rPr>
          <w:b/>
          <w:color w:val="333399"/>
        </w:rPr>
        <w:t xml:space="preserve">г. Душанбе, </w:t>
      </w:r>
    </w:p>
    <w:p>
      <w:pPr>
        <w:jc w:val="center"/>
      </w:pPr>
      <w:r>
        <w:rPr>
          <w:b/>
          <w:color w:val="333399"/>
        </w:rPr>
        <w:t xml:space="preserve">от 27 августа 2020 года, №460 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7423" TargetMode="External" Id="R0b87f9ed2cc34695" /><Relationship Type="http://schemas.openxmlformats.org/officeDocument/2006/relationships/hyperlink" Target="vfp:///rgn=137174" TargetMode="External" Id="R2a8c1a4ca10042c6" /></Relationships>
</file>