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83ddf21bef47c2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Перечне работников с ненормированным рабочим днем в государственных организациях и продолжительность дополнительного отпуска данным работникам 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ac81d21e388d4783">
        <w:r>
          <w:rPr>
            <w:rStyle w:val="Hyperlink"/>
            <w:color w:val="11ab01"/>
          </w:rPr>
          <w:t xml:space="preserve">статьей 99</w:t>
        </w:r>
      </w:hyperlink>
      <w:r>
        <w:t xml:space="preserve"> Трудового кодекса Республики Таджикистан Правительство Республики Таджикистан постановляет: </w:t>
      </w:r>
    </w:p>
    <w:p>
      <w:pPr>
        <w:spacing w:before="140" w:after="140"/>
        <w:ind w:left="140" w:right="140"/>
        <w:jc w:val="both"/>
      </w:pPr>
      <w:r>
        <w:t xml:space="preserve">1. Утвердить Перечень работников с ненормированным рабочим днем в государственных организациях и продолжительность дополнительного отпуска данным работникам (прилагается). </w:t>
      </w:r>
    </w:p>
    <w:p>
      <w:pPr>
        <w:spacing w:before="140" w:after="140"/>
        <w:ind w:left="140" w:right="140"/>
        <w:jc w:val="both"/>
      </w:pPr>
      <w:r>
        <w:t xml:space="preserve">2. Оплата дополнительного отпуска работникам с ненормированным рабочим днем производится в пределах фонда оплаты труда государственных организаций. 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 Эмомали Рахмон</w:t>
      </w:r>
    </w:p>
    <w:p>
      <w:pPr>
        <w:jc w:val="center"/>
      </w:pPr>
      <w:r>
        <w:rPr>
          <w:b/>
          <w:color w:val="333399"/>
        </w:rPr>
        <w:t xml:space="preserve"> г. Душанбе, </w:t>
      </w:r>
    </w:p>
    <w:p>
      <w:pPr>
        <w:jc w:val="center"/>
      </w:pPr>
      <w:r>
        <w:rPr>
          <w:b/>
          <w:color w:val="333399"/>
        </w:rPr>
        <w:t xml:space="preserve">от 27 октября 2020 года, №547</w:t>
      </w:r>
    </w:p>
    <w:p>
      <w:pPr>
        <w:spacing w:before="140" w:after="140"/>
        <w:ind w:left="140" w:right="140"/>
        <w:jc w:val="both"/>
      </w:pPr>
      <w:hyperlink xmlns:r="http://schemas.openxmlformats.org/officeDocument/2006/relationships" w:history="true" r:id="R6f8cf97cab7145d7">
        <w:r>
          <w:rPr>
            <w:rStyle w:val="Hyperlink"/>
            <w:color w:val="11ab01"/>
          </w:rPr>
          <w:t xml:space="preserve">*Приложение </w:t>
        </w:r>
      </w:hyperlink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7423#A4P50KX24S" TargetMode="External" Id="Rac81d21e388d4783" /><Relationship Type="http://schemas.openxmlformats.org/officeDocument/2006/relationships/hyperlink" Target="vfp:///ext=3454" TargetMode="External" Id="R6f8cf97cab7145d7" /></Relationships>
</file>