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475c52d78fd34986" /></Relationships>
</file>

<file path=word/document.xml><?xml version="1.0" encoding="utf-8"?>
<w:document xmlns:w="http://schemas.openxmlformats.org/wordprocessingml/2006/main">
  <w:body>
    <w:p>
      <w:pPr>
        <w:spacing w:before="500" w:after="500"/>
        <w:ind w:left="500" w:right="500"/>
        <w:jc w:val="center"/>
      </w:pPr>
      <w:r>
        <w:rPr>
          <w:b/>
          <w:color w:val="003399"/>
        </w:rPr>
        <w:t xml:space="preserve">ПРАВИТЕЛЬСТВО РЕСПУБЛИКИ ТАДЖИКИСТАН</w:t>
      </w:r>
    </w:p>
    <w:p>
      <w:pPr>
        <w:spacing w:before="500" w:after="500"/>
        <w:ind w:left="500" w:right="500"/>
        <w:jc w:val="center"/>
      </w:pPr>
      <w:r>
        <w:rPr>
          <w:b/>
          <w:color w:val="003399"/>
        </w:rPr>
        <w:t xml:space="preserve">ПОСТАНОВЛЕНИЕ</w:t>
      </w:r>
    </w:p>
    <w:p>
      <w:pPr>
        <w:spacing w:before="500" w:after="500"/>
        <w:ind w:left="500" w:right="500"/>
        <w:jc w:val="center"/>
      </w:pPr>
      <w:r>
        <w:rPr>
          <w:b/>
          <w:color w:val="003399"/>
        </w:rPr>
        <w:t xml:space="preserve">О мерах по реализации указа Президента Республики Таджикистан от 14 января 2026 года, №1132</w:t>
      </w:r>
    </w:p>
    <w:p>
      <w:pPr>
        <w:spacing w:before="140" w:after="140"/>
        <w:ind w:left="140" w:right="140"/>
        <w:jc w:val="both"/>
      </w:pPr>
      <w:r>
        <w:t xml:space="preserve">Во исполнение указа Президента Республики Таджикистан от 14 января 2026 года, №1132 «О мерах по усилению уровня социальной защиты населения, увеличению действующих должностных окладов государственных служащих, работников бюджетных организаций, размеров пенсий и стипендий» Правительство Республики Таджикистан постановляет:</w:t>
      </w:r>
    </w:p>
    <w:p>
      <w:pPr>
        <w:spacing w:before="140" w:after="140"/>
        <w:ind w:left="140" w:right="140"/>
        <w:jc w:val="both"/>
      </w:pPr>
      <w:r>
        <w:t xml:space="preserve">1.С 1 сентября 2026 года:</w:t>
      </w:r>
    </w:p>
    <w:p>
      <w:pPr>
        <w:spacing w:before="140" w:after="140"/>
        <w:ind w:left="140" w:right="140"/>
        <w:jc w:val="both"/>
      </w:pPr>
      <w:r>
        <w:t xml:space="preserve">- установить минимальный размер оплаты труда для всех экономических и социальных сфер республики в размере 1300 сомони в месяц;</w:t>
      </w:r>
    </w:p>
    <w:p>
      <w:pPr>
        <w:spacing w:before="140" w:after="140"/>
        <w:ind w:left="140" w:right="140"/>
        <w:jc w:val="both"/>
      </w:pPr>
      <w:r>
        <w:t xml:space="preserve">- увеличить должностные оклады работников учреждений дошкольного и общего среднего образования на 25 процентов;</w:t>
      </w:r>
    </w:p>
    <w:p>
      <w:pPr>
        <w:spacing w:before="140" w:after="140"/>
        <w:ind w:left="140" w:right="140"/>
        <w:jc w:val="both"/>
      </w:pPr>
      <w:r>
        <w:t xml:space="preserve">- увеличить должностные оклады работников других учреждений сфер образования, науки, культуры, спорта, здравоохранения, учреждений сферы социальной защиты, работников правоохранительных органов, военнослужащих, органов власти и государственного управления и других бюджетных учреждений на 20 процентов;</w:t>
      </w:r>
    </w:p>
    <w:p>
      <w:pPr>
        <w:spacing w:before="140" w:after="140"/>
        <w:ind w:left="140" w:right="140"/>
        <w:jc w:val="both"/>
      </w:pPr>
      <w:r>
        <w:t xml:space="preserve">- увеличить размер базового оклада для расчёта должностного оклада работников сферы здравоохранения на 20 процентов и установить в сумме 893 сомони;</w:t>
      </w:r>
    </w:p>
    <w:p>
      <w:pPr>
        <w:spacing w:before="140" w:after="140"/>
        <w:ind w:left="140" w:right="140"/>
        <w:jc w:val="both"/>
      </w:pPr>
      <w:r>
        <w:t xml:space="preserve">- установить размер базового оклада в качестве основы тарифных коэффициентов для государственных служащих административных должностей высшей категории 1614 сомони, первой, второй, третьей, четвертой категорий государственной службы органов государственного управления, местных исполнительных органов государственной власти, органов самоуправления посёлков и дехотов 1506 сомони и для административных должностей пятой, шестой, седьмой категории государственной службы указанных органов 1668 сомони;</w:t>
      </w:r>
    </w:p>
    <w:p>
      <w:pPr>
        <w:spacing w:before="140" w:after="140"/>
        <w:ind w:left="140" w:right="140"/>
        <w:jc w:val="both"/>
      </w:pPr>
      <w:r>
        <w:t xml:space="preserve">- увеличить действующие стипендии студентов и другие виды стипендий в том числе президентские стипендии (за исключением курсантов высших военных учреждений и Академии Министерства внутренних дел Республики Таджикистан) на 20 процентов;</w:t>
      </w:r>
    </w:p>
    <w:p>
      <w:pPr>
        <w:spacing w:before="140" w:after="140"/>
        <w:ind w:left="140" w:right="140"/>
        <w:jc w:val="both"/>
      </w:pPr>
      <w:r>
        <w:t xml:space="preserve">- увеличить должностные оклады (тарифные ставки) военнослужащих, работников правоохранительных органов и других работников этих органов на 20 процентов;</w:t>
      </w:r>
    </w:p>
    <w:p>
      <w:pPr>
        <w:spacing w:before="140" w:after="140"/>
        <w:ind w:left="140" w:right="140"/>
        <w:jc w:val="both"/>
      </w:pPr>
      <w:r>
        <w:t xml:space="preserve">- установить базовый оклад для расчета коэффициентов для воинских званий военнослужащих и специальных званий работников правоохранительных органов от звания рядового до лейтенанта 2002 сомони и от звания старшего лейтенанта до генерала армии 1800 сомони;</w:t>
      </w:r>
    </w:p>
    <w:p>
      <w:pPr>
        <w:spacing w:before="140" w:after="140"/>
        <w:ind w:left="140" w:right="140"/>
        <w:jc w:val="both"/>
      </w:pPr>
      <w:r>
        <w:t xml:space="preserve">- установить размер базового оклада как основу тарифных коэффициентов для государственных служащих административных должностей высшей, первой, второй, третьей, четвертой категорий государственной службы органов государственного управления, работающих в военных структурах и правоохранительных органах, 1800 сомони и для административных должностей пятой, шестой и седьмой категорий государственной службы указанных органов 2002 сомони;</w:t>
      </w:r>
    </w:p>
    <w:p>
      <w:pPr>
        <w:spacing w:before="140" w:after="140"/>
        <w:ind w:left="140" w:right="140"/>
        <w:jc w:val="both"/>
      </w:pPr>
      <w:r>
        <w:t xml:space="preserve">- проиндексировать (увеличить) страховые, трудовые и социальные пенсии, а также надбавки к ним в соответствии с положениями статьи 51 Закона Республики Таджикистан «О страховых и государственных пенсиях» и размер базовой пенсии на уровне инфляции 2025 года, но не менее чем на 15 процентов от установленного размера.</w:t>
      </w:r>
    </w:p>
    <w:p>
      <w:pPr>
        <w:spacing w:before="140" w:after="140"/>
        <w:ind w:left="140" w:right="140"/>
        <w:jc w:val="both"/>
      </w:pPr>
      <w:r>
        <w:t xml:space="preserve">2.Агентству социального страхования и пенсий при Правительстве Республики Таджикистан обеспечить индексацию (увеличение) размеров пенсий в пределах средств бюджета социального страхования и пенсий.</w:t>
      </w:r>
    </w:p>
    <w:p>
      <w:pPr>
        <w:spacing w:before="140" w:after="140"/>
        <w:ind w:left="140" w:right="140"/>
        <w:jc w:val="both"/>
      </w:pPr>
      <w:r>
        <w:t xml:space="preserve">3.Министерствам и ведомствам, осуществляющим пенсионное обеспечение военнослужащих, личного рядового и руководящего состава органов внутренних дел и других правоохранительных органов, с 1 сентября 2026 года произвести перерасчёт пенсий, за исключением пенсий лиц, получавших денежное обеспечение (заработную плату) в иностранной валюте и пенсии, которых установлены за счёт этих средств.</w:t>
      </w:r>
    </w:p>
    <w:p>
      <w:pPr>
        <w:spacing w:before="140" w:after="140"/>
        <w:ind w:left="140" w:right="140"/>
        <w:jc w:val="both"/>
      </w:pPr>
      <w:r>
        <w:t xml:space="preserve">4.Министерству финансов Республики Таджикистан, Министерству труда, миграции и занятости населения Республики Таджикистан и Агентству социального страхования и пенсий при Правительстве Республики Таджикистан совместно с соответствующими министерствами, ведомствами и местными исполнительными органами государственной власти обеспечить выполнение настоящего постановления за счёт средств, предусмотренных в государственном бюджете 2026 года для финансирования фонда заработной платы и пенсионного обеспечения, средств свободных остатков, перевыполнения доходов республиканского бюджета, местных бюджетов и бюджета социального страхования и пенсий, а также за счёт экономии защищённых статей бюджета, перераспределения других статей расходов, резервных средств государственного бюджета и специальных средств бюджетных организаций.</w:t>
      </w:r>
    </w:p>
    <w:p>
      <w:pPr>
        <w:spacing w:before="140" w:after="140"/>
        <w:ind w:left="140" w:right="140"/>
        <w:jc w:val="both"/>
      </w:pPr>
      <w:r>
        <w:t xml:space="preserve">5.Местным исполнительным органам государственной власти:</w:t>
      </w:r>
    </w:p>
    <w:p>
      <w:pPr>
        <w:spacing w:before="140" w:after="140"/>
        <w:ind w:left="140" w:right="140"/>
        <w:jc w:val="both"/>
      </w:pPr>
      <w:r>
        <w:t xml:space="preserve">- в целях выполнения настоящего постановления превышение доходов местных бюджетов и принятые дополнительные бюджеты направить строго на обеспечение повышения заработной платы работников организаций, финансируемых из местных бюджетов;</w:t>
      </w:r>
    </w:p>
    <w:p>
      <w:pPr>
        <w:spacing w:before="140" w:after="140"/>
        <w:ind w:left="140" w:right="140"/>
        <w:jc w:val="both"/>
      </w:pPr>
      <w:r>
        <w:t xml:space="preserve">- осуществлять покрытие недостатка плановых средств на повышение заработной платы за счёт экономии защищенных статей бюджета, перераспределения других статей расходов, вакантных рабочих мест и свободного остатка бюджетных средств.</w:t>
      </w:r>
    </w:p>
    <w:p>
      <w:pPr>
        <w:spacing w:before="140" w:after="140"/>
        <w:ind w:left="140" w:right="140"/>
        <w:jc w:val="both"/>
      </w:pPr>
      <w:r>
        <w:t xml:space="preserve">6.Министерствам и ведомствам Республики Таджикистан, местным исполнительным органам государственной власти принять необходимые меры по своевременному выполнению настоящего постановления, в том числе Министерству здравоохранения и социальной защиты населения Республики Таджикистан совместно с местными исполнительными органами государственной власти в целях устранения неравенства соотношения заработной платы работников среднего, младшего медицинского персонала и других работников 3, 4, 5, 6 и 7 категорий, установить увеличение заработной платы в размере 20 процентов.</w:t>
      </w:r>
    </w:p>
    <w:p>
      <w:pPr>
        <w:spacing w:before="140" w:after="140"/>
        <w:ind w:left="140" w:right="140"/>
        <w:jc w:val="both"/>
      </w:pPr>
      <w:r>
        <w:t xml:space="preserve">7.Отраслевым министерствам и ведомствам Республики Таджикистан по согласованию с Министерством финансов Республики Таджикистан, Министерством труда, миграции и занятости населения Республики Таджикистан и Федерацией независимых профсоюзов Таджикистана при необходимости разработать и утвердить свои порядки и инструкции по выплате заработной платы в новой редакции с учётом её повышения.</w:t>
      </w:r>
    </w:p>
    <w:p>
      <w:pPr>
        <w:spacing w:before="140" w:after="140"/>
        <w:ind w:left="140" w:right="140"/>
        <w:jc w:val="both"/>
      </w:pPr>
      <w:r>
        <w:t xml:space="preserve">8.Министерствам и ведомствам Республики Таджикистан, местным исполнительным органам государственной власти, предприятиям, учреждениям и другим организациям исчисление среднего заработка для оплаты трудовых отпусков, пособий при увольнении, пособий по временной нетрудоспособности и в других случаях, связанных с выплатой средней заработной платы (кроме пенсий), производить согласно Порядку исчисления среднего заработка, причитающегося работнику во всех случаях (производство гарантийных выплат при выполнении государственных или общественных обязанностей, при оплате времени отпуска, при выплате заработка за время перевода на другую работу), за исключением среднего заработка при назначении пенсии, утверждённому постановлением Правительства Республики Таджикистан от 1 июня 2007 года, </w:t>
      </w:r>
      <w:r>
        <w:rPr>
          <w:color w:val="11ab01"/>
        </w:rPr>
        <w:t xml:space="preserve">№313</w:t>
      </w:r>
      <w:r>
        <w:t xml:space="preserve">.</w:t>
      </w:r>
    </w:p>
    <w:p>
      <w:pPr>
        <w:spacing w:before="140" w:after="140"/>
        <w:ind w:left="140" w:right="140"/>
        <w:jc w:val="both"/>
      </w:pPr>
      <w:r>
        <w:t xml:space="preserve">9.Министерству труда, миграции и занятости населения Республики Таджикистан, Министерству финансов Республики Таджикистан, Агентству социального страхования и пенсий при Правительстве Республики Таджикистан, Федерации независимых профсоюзов Таджикистана и Комитету по телевидению и радио при Правительстве Республики Таджикистан принять действенные меры по разъяснению и толкованию указа Президента Республики Таджикистан от 14 января 2026 года, №1132 посредством средств массовой информации.</w:t>
      </w:r>
    </w:p>
    <w:p>
      <w:r>
        <w:t xml:space="preserve">Председатель </w:t>
      </w:r>
    </w:p>
    <w:p>
      <w:r>
        <w:t xml:space="preserve">Правительства Республики Таджикистан Эмомали Рахмон</w:t>
      </w:r>
    </w:p>
    <w:p>
      <w:pPr>
        <w:spacing w:before="140" w:after="140"/>
        <w:ind w:left="140" w:right="140"/>
        <w:jc w:val="both"/>
      </w:pPr>
      <w:r>
        <w:br/>
      </w:r>
    </w:p>
    <w:p>
      <w:pPr>
        <w:jc w:val="center"/>
      </w:pPr>
      <w:r>
        <w:t xml:space="preserve">г. Душанбе, от 26 февраля 2026 года, №72</w:t>
      </w:r>
    </w:p>
    <w:p>
      <w:pPr>
        <w:spacing w:before="140" w:after="140"/>
        <w:ind w:left="140" w:right="140"/>
        <w:jc w:val="both"/>
      </w:pPr>
      <w:r>
        <w:br/>
      </w:r>
    </w:p>
    <w:p>
      <w:pPr>
        <w:spacing w:before="140" w:after="140"/>
        <w:ind w:left="140" w:right="140"/>
        <w:jc w:val="both"/>
      </w:pPr>
      <w:r>
        <w:br/>
      </w:r>
    </w:p>
  </w:body>
</w:document>
</file>