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WED 06/23/2021 2-3 EDT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Meeting time 28 minutes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Attendees</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Nick McGough, Daon</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Praneel Palleger, CVS/Aetna</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Moises E. Jaramillo, Lumedic</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Jim StClair, Lumedic</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Nat Holloway, USAA</w:t>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We have new members in the Tech Group. Welcome Praneel and Moises! Moises and Praneel are working through their implementations using the BAF Framework. They will reach out if they get stuck or need any help with anything. It’s good to see they are working towards getting their nodes online.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We need access to the Wiki to document how to install this using BAF. We currently do not have that documented. Nat will work on getting access for everyone.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Nat went over the Use Cases that were in the Governance meeting and expressed their reasoning for wanting to get a DEMO out as soon as we can. The quickest route will most likely be the first use case because DAON already has a workflow that covers most of the Use Case. We will just need to work on plugging this in their workflow. Once I get the document from Bharat I will forward it on to the members of the group.</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Aaron has broken through some of the access issues on hsi Docker node and will most likely have his ready late this week or next. Good news from IBM!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