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BBU Tech Meeting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FRI 03/19/2021 2-3 EST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Meeting time 30 minutes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Abbie Barbir, CVS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Kevin Julier, IBM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Nick McGough, Daon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Alan Bachman, CVS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Aaron, IBM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Dan Gisolfi, IBM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Jason Malinowski, IBM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Karl Kneis, ID Ramp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Nat Holloway, USAA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Alan reached out to Lynn at lynn@indicio.tech 3/19.Lynn accepted and we’ll get Lynn to come to one of our meetings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We went over the documents that Dan pointed us towards during the last meeting. There was a motion to see if someone else wanted to be the chair and everyone said they were ok with who we had.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Alan gave us some help on ideas on how to run these types of meetings.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We went over this document in particular: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https://bedrock-consortium.github.io/bbu-gf/gf_controlled/member_top/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The following were items of note: </w:t>
        <w:br w:type="textWrapping"/>
        <w:br w:type="textWrapping"/>
        <w:t xml:space="preserve">3 business days to implement changes after code is approved by TSC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1 hour or less to recover the system in the event of failure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Minimum server requirements (prod):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8 CPU cores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32 GB RAM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1 TB space - able to grow to 2 TB (RAID)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100 Mbps network connection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2 NICs - 1 Public, 1 Private (CLI-to-Validator)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Access control - MUST prevent traffic originating from the Validator node to reach the Validator's intranet domain.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Failover/recovery delay 30 seconds max (unless specified elsewhere)NTP synced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Highly available power supplies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Aaron proposed some ideas for dev/test that we wouldn’t need this large of an environment: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4 CPU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16 GB RAM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200 GB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He is going to check with his co-worker to see what they recommend for building a system. They have extensive experience with building Indy nodes.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He also pointed us to this document: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https://docs.google.com/document/d/18MNB7nEKerlcyZKof5AvGMy0GP9T82c4SWaxZkPzya4/edit#heading=h.9a4ud1gh7a6x</w:t>
        </w:r>
      </w:hyperlink>
      <w:r w:rsidDel="00000000" w:rsidR="00000000" w:rsidRPr="00000000">
        <w:rPr>
          <w:rtl w:val="0"/>
        </w:rPr>
        <w:t xml:space="preserve"> ( I am uploading this to our google drive.)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edrock-consortium.github.io/bbu-gf/gf_controlled/member_top/" TargetMode="External"/><Relationship Id="rId7" Type="http://schemas.openxmlformats.org/officeDocument/2006/relationships/hyperlink" Target="https://docs.google.com/document/d/18MNB7nEKerlcyZKof5AvGMy0GP9T82c4SWaxZkPzya4/edit#heading=h.9a4ud1gh7a6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