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Nunito" w:cs="Nunito" w:eastAsia="Nunito" w:hAnsi="Nunito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Nunito" w:cs="Nunito" w:eastAsia="Nunito" w:hAnsi="Nunito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POSTWORK</w:t>
      </w:r>
    </w:p>
    <w:p w:rsidR="00000000" w:rsidDel="00000000" w:rsidP="00000000" w:rsidRDefault="00000000" w:rsidRPr="00000000" w14:paraId="00000004">
      <w:pPr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Sesión 06</w:t>
      </w:r>
    </w:p>
    <w:p w:rsidR="00000000" w:rsidDel="00000000" w:rsidP="00000000" w:rsidRDefault="00000000" w:rsidRPr="00000000" w14:paraId="00000005">
      <w:pPr>
        <w:rPr>
          <w:rFonts w:ascii="Montserrat" w:cs="Montserrat" w:eastAsia="Montserrat" w:hAnsi="Montserrat"/>
          <w:b w:val="1"/>
          <w:color w:val="ff0000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Uso de los componentes de Spark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Montserrat" w:cs="Montserrat" w:eastAsia="Montserrat" w:hAnsi="Montserrat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🎯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Objetivos</w:t>
      </w:r>
    </w:p>
    <w:p w:rsidR="00000000" w:rsidDel="00000000" w:rsidP="00000000" w:rsidRDefault="00000000" w:rsidRPr="00000000" w14:paraId="00000009">
      <w:pPr>
        <w:spacing w:line="276" w:lineRule="auto"/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Aprender a usar los sandbox para correr sesiones de Spark en ambientes de Cómputo en la nube.</w:t>
      </w:r>
    </w:p>
    <w:p w:rsidR="00000000" w:rsidDel="00000000" w:rsidP="00000000" w:rsidRDefault="00000000" w:rsidRPr="00000000" w14:paraId="0000000A">
      <w:pPr>
        <w:spacing w:line="276" w:lineRule="auto"/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Spark Sandbox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Vamos a aprender a usar Hortonworks y Cloudera, los cuales te ofrecen máquinas virtuales que no debes configurar desde 0 y están listas para poder correr código para analizar Big Data, sin que uses tu máquina local:</w:t>
      </w:r>
    </w:p>
    <w:p w:rsidR="00000000" w:rsidDel="00000000" w:rsidP="00000000" w:rsidRDefault="00000000" w:rsidRPr="00000000" w14:paraId="0000000E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hyperlink r:id="rId6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4"/>
            <w:szCs w:val="24"/>
            <w:u w:val="single"/>
            <w:rtl w:val="0"/>
          </w:rPr>
          <w:t xml:space="preserve">Hortonworks: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</w:rPr>
        <w:drawing>
          <wp:inline distB="114300" distT="114300" distL="114300" distR="114300">
            <wp:extent cx="5731200" cy="2019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hyperlink r:id="rId8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4"/>
            <w:szCs w:val="24"/>
            <w:u w:val="single"/>
            <w:rtl w:val="0"/>
          </w:rPr>
          <w:t xml:space="preserve">Cloudera: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</w:rPr>
        <w:drawing>
          <wp:inline distB="114300" distT="114300" distL="114300" distR="114300">
            <wp:extent cx="5731200" cy="698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Desde el 2021, ambas empresas se han fusionado en una sola (Cloudera). Veamos el proceso para usar sus servicios:</w:t>
      </w:r>
    </w:p>
    <w:p w:rsidR="00000000" w:rsidDel="00000000" w:rsidP="00000000" w:rsidRDefault="00000000" w:rsidRPr="00000000" w14:paraId="0000001B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Una vez hayas ingresado en la página, te encontrarás con la siguiente página de inicio</w:t>
      </w:r>
    </w:p>
    <w:p w:rsidR="00000000" w:rsidDel="00000000" w:rsidP="00000000" w:rsidRDefault="00000000" w:rsidRPr="00000000" w14:paraId="0000001D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Deberás crear una nueva cuenta y registrarte</w:t>
      </w:r>
    </w:p>
    <w:p w:rsidR="00000000" w:rsidDel="00000000" w:rsidP="00000000" w:rsidRDefault="00000000" w:rsidRPr="00000000" w14:paraId="0000001F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</w:rPr>
        <w:drawing>
          <wp:inline distB="114300" distT="114300" distL="114300" distR="114300">
            <wp:extent cx="5731200" cy="3149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Una vez dentro, estarás en la siguiente pantalla:</w:t>
      </w:r>
    </w:p>
    <w:p w:rsidR="00000000" w:rsidDel="00000000" w:rsidP="00000000" w:rsidRDefault="00000000" w:rsidRPr="00000000" w14:paraId="00000021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</w:rPr>
        <w:drawing>
          <wp:inline distB="114300" distT="114300" distL="114300" distR="114300">
            <wp:extent cx="5731200" cy="3289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Deberás seleccionar:</w:t>
      </w:r>
    </w:p>
    <w:p w:rsidR="00000000" w:rsidDel="00000000" w:rsidP="00000000" w:rsidRDefault="00000000" w:rsidRPr="00000000" w14:paraId="00000024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Products &gt; Cloud Platform</w:t>
      </w:r>
    </w:p>
    <w:p w:rsidR="00000000" w:rsidDel="00000000" w:rsidP="00000000" w:rsidRDefault="00000000" w:rsidRPr="00000000" w14:paraId="00000026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Deberás estar en la siguiente pantalla:</w:t>
      </w:r>
    </w:p>
    <w:p w:rsidR="00000000" w:rsidDel="00000000" w:rsidP="00000000" w:rsidRDefault="00000000" w:rsidRPr="00000000" w14:paraId="00000028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Puedes acceder a una prueba gratuita (los servicios de Cloudera tienen costo). Algunas empresas usan estos servicios terciorizados para desarrollar operaciones no elementales. Es recomendable que lo estudies para que tengas conocimiento y noción de ello en caso de que si alguna vez debes utilizar estos servicios, tengas conocimientos prácticos.</w:t>
      </w:r>
    </w:p>
    <w:p w:rsidR="00000000" w:rsidDel="00000000" w:rsidP="00000000" w:rsidRDefault="00000000" w:rsidRPr="00000000" w14:paraId="0000002A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4" w:type="default"/>
      <w:pgSz w:h="16834" w:w="11909" w:orient="portrait"/>
      <w:pgMar w:bottom="1440" w:top="1440" w:left="1440" w:right="1440" w:header="720.0000000000001" w:footer="720.00000000000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/>
  <w:font w:name="Montserrat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jc w:val="right"/>
      <w:rPr>
        <w:rFonts w:ascii="Montserrat" w:cs="Montserrat" w:eastAsia="Montserrat" w:hAnsi="Montserrat"/>
        <w:b w:val="1"/>
        <w:color w:val="ff0000"/>
        <w:sz w:val="24"/>
        <w:szCs w:val="24"/>
      </w:rPr>
    </w:pPr>
    <w:r w:rsidDel="00000000" w:rsidR="00000000" w:rsidRPr="00000000">
      <w:rPr>
        <w:rFonts w:ascii="Montserrat" w:cs="Montserrat" w:eastAsia="Montserrat" w:hAnsi="Montserrat"/>
        <w:b w:val="1"/>
        <w:color w:val="ff0000"/>
        <w:sz w:val="24"/>
        <w:szCs w:val="24"/>
        <w:rtl w:val="0"/>
      </w:rPr>
      <w:t xml:space="preserve">Módulo Introducción a Big Data - Sesión 06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-466722</wp:posOffset>
          </wp:positionH>
          <wp:positionV relativeFrom="paragraph">
            <wp:posOffset>-85722</wp:posOffset>
          </wp:positionV>
          <wp:extent cx="1396938" cy="433388"/>
          <wp:effectExtent b="0" l="0" r="0" t="0"/>
          <wp:wrapSquare wrapText="bothSides" distB="114300" distT="114300" distL="114300" distR="11430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96938" cy="43338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D">
    <w:pPr>
      <w:jc w:val="right"/>
      <w:rPr>
        <w:rFonts w:ascii="Montserrat" w:cs="Montserrat" w:eastAsia="Montserrat" w:hAnsi="Montserrat"/>
        <w:b w:val="1"/>
        <w:color w:val="666666"/>
        <w:sz w:val="24"/>
        <w:szCs w:val="24"/>
      </w:rPr>
    </w:pPr>
    <w:r w:rsidDel="00000000" w:rsidR="00000000" w:rsidRPr="00000000">
      <w:rPr>
        <w:rFonts w:ascii="Montserrat" w:cs="Montserrat" w:eastAsia="Montserrat" w:hAnsi="Montserrat"/>
        <w:b w:val="1"/>
        <w:color w:val="666666"/>
        <w:sz w:val="24"/>
        <w:szCs w:val="24"/>
        <w:rtl w:val="0"/>
      </w:rPr>
      <w:t xml:space="preserve">POSTWORK - Uso de los componentes de Spark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hortonworks.com/tutorial/hands-on-tour-of-apache-spark-in-5-minutes/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www.cloudera.com/documentation/enterprise/5-6-x/topics/quickstart.html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